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b/>
          <w:bCs/>
          <w:sz w:val="32"/>
          <w:szCs w:val="32"/>
        </w:rPr>
      </w:pPr>
      <w:r>
        <w:rPr>
          <w:rFonts w:hint="eastAsia" w:ascii="仿宋_GB2312" w:eastAsia="仿宋_GB2312"/>
          <w:b/>
          <w:bCs/>
          <w:sz w:val="32"/>
          <w:szCs w:val="32"/>
        </w:rPr>
        <w:t>自动化与信息</w:t>
      </w:r>
      <w:r>
        <w:rPr>
          <w:rFonts w:hint="eastAsia" w:ascii="仿宋_GB2312" w:eastAsia="仿宋_GB2312"/>
          <w:b/>
          <w:bCs/>
          <w:sz w:val="32"/>
          <w:szCs w:val="32"/>
          <w:lang w:eastAsia="zh-CN"/>
        </w:rPr>
        <w:t>工程</w:t>
      </w:r>
      <w:r>
        <w:rPr>
          <w:rFonts w:hint="eastAsia" w:ascii="仿宋_GB2312" w:eastAsia="仿宋_GB2312"/>
          <w:b/>
          <w:bCs/>
          <w:sz w:val="32"/>
          <w:szCs w:val="32"/>
        </w:rPr>
        <w:t>学院</w:t>
      </w:r>
    </w:p>
    <w:p>
      <w:pPr>
        <w:spacing w:line="360" w:lineRule="auto"/>
        <w:jc w:val="center"/>
        <w:rPr>
          <w:rFonts w:ascii="仿宋_GB2312" w:eastAsia="仿宋_GB2312"/>
          <w:b/>
          <w:bCs/>
          <w:sz w:val="32"/>
          <w:szCs w:val="32"/>
        </w:rPr>
      </w:pPr>
      <w:r>
        <w:rPr>
          <w:rFonts w:hint="eastAsia" w:ascii="仿宋_GB2312" w:eastAsia="仿宋_GB2312"/>
          <w:b/>
          <w:bCs/>
          <w:sz w:val="32"/>
          <w:szCs w:val="32"/>
        </w:rPr>
        <w:t>大学生综合素质测评组织实施方案（修定）</w:t>
      </w:r>
    </w:p>
    <w:p>
      <w:pPr>
        <w:pStyle w:val="4"/>
        <w:spacing w:before="0" w:beforeAutospacing="0" w:after="0" w:afterAutospacing="0"/>
        <w:jc w:val="center"/>
        <w:rPr>
          <w:rFonts w:ascii="仿宋_GB2312" w:eastAsia="仿宋_GB2312" w:cs="宋体"/>
          <w:b/>
          <w:sz w:val="28"/>
          <w:szCs w:val="28"/>
        </w:rPr>
      </w:pPr>
    </w:p>
    <w:p>
      <w:pPr>
        <w:pStyle w:val="4"/>
        <w:spacing w:before="0" w:beforeAutospacing="0" w:after="0" w:afterAutospacing="0"/>
        <w:jc w:val="center"/>
        <w:rPr>
          <w:rFonts w:ascii="仿宋_GB2312" w:eastAsia="仿宋_GB2312" w:cs="宋体"/>
          <w:b/>
          <w:sz w:val="28"/>
          <w:szCs w:val="28"/>
        </w:rPr>
      </w:pPr>
      <w:r>
        <w:rPr>
          <w:rFonts w:hint="eastAsia" w:ascii="仿宋_GB2312" w:eastAsia="仿宋_GB2312" w:cs="宋体"/>
          <w:b/>
          <w:sz w:val="28"/>
          <w:szCs w:val="28"/>
        </w:rPr>
        <w:t>第一部分  指导思想与原则</w:t>
      </w:r>
    </w:p>
    <w:p>
      <w:pPr>
        <w:pStyle w:val="4"/>
        <w:spacing w:before="0" w:beforeAutospacing="0" w:after="0" w:afterAutospacing="0"/>
        <w:ind w:firstLine="420" w:firstLineChars="200"/>
        <w:rPr>
          <w:rFonts w:cs="宋体"/>
          <w:sz w:val="21"/>
          <w:szCs w:val="21"/>
        </w:rPr>
      </w:pPr>
      <w:r>
        <w:rPr>
          <w:rFonts w:hint="eastAsia" w:cs="宋体"/>
          <w:sz w:val="21"/>
          <w:szCs w:val="21"/>
        </w:rPr>
        <w:t>第</w:t>
      </w:r>
      <w:r>
        <w:rPr>
          <w:rFonts w:hint="eastAsia" w:cs="宋体"/>
          <w:sz w:val="21"/>
          <w:szCs w:val="21"/>
          <w:lang w:eastAsia="zh-CN"/>
        </w:rPr>
        <w:t>一</w:t>
      </w:r>
      <w:r>
        <w:rPr>
          <w:rFonts w:hint="eastAsia" w:cs="宋体"/>
          <w:sz w:val="21"/>
          <w:szCs w:val="21"/>
        </w:rPr>
        <w:t>条 综合素质测评遵循定性测评与定量测评相结合、基本表现测评与特别表现测评相结合，个人总结与组织评定相结合的原则，做到公开公平、合理透明，且便于操作。</w:t>
      </w:r>
    </w:p>
    <w:p>
      <w:pPr>
        <w:pStyle w:val="4"/>
        <w:spacing w:before="0" w:beforeAutospacing="0" w:after="0" w:afterAutospacing="0"/>
        <w:ind w:firstLine="420" w:firstLineChars="200"/>
        <w:rPr>
          <w:rFonts w:cs="宋体"/>
          <w:sz w:val="21"/>
          <w:szCs w:val="21"/>
        </w:rPr>
      </w:pPr>
      <w:r>
        <w:rPr>
          <w:rFonts w:hint="eastAsia" w:cs="宋体"/>
          <w:sz w:val="21"/>
          <w:szCs w:val="21"/>
        </w:rPr>
        <w:t>第</w:t>
      </w:r>
      <w:r>
        <w:rPr>
          <w:rFonts w:hint="eastAsia" w:cs="宋体"/>
          <w:sz w:val="21"/>
          <w:szCs w:val="21"/>
          <w:lang w:eastAsia="zh-CN"/>
        </w:rPr>
        <w:t>二</w:t>
      </w:r>
      <w:r>
        <w:rPr>
          <w:rFonts w:hint="eastAsia" w:cs="宋体"/>
          <w:sz w:val="21"/>
          <w:szCs w:val="21"/>
        </w:rPr>
        <w:t>条 根据共性与个性关系，将学生素质分为基础性素质和发展性素质两个层面。基础性素质是指学生在学校人才培养方案规定的教学、教育等环节中形成的一般素质。发展性素质是指学生在学校教育和第二课堂教育中形成的体现创造性和实践性的素质。</w:t>
      </w:r>
    </w:p>
    <w:p>
      <w:pPr>
        <w:pStyle w:val="4"/>
        <w:spacing w:before="0" w:beforeAutospacing="0" w:after="0" w:afterAutospacing="0"/>
        <w:jc w:val="center"/>
        <w:rPr>
          <w:rFonts w:ascii="仿宋_GB2312" w:eastAsia="仿宋_GB2312" w:cs="宋体"/>
          <w:b/>
          <w:sz w:val="28"/>
          <w:szCs w:val="28"/>
        </w:rPr>
      </w:pPr>
      <w:r>
        <w:rPr>
          <w:rFonts w:hint="eastAsia" w:ascii="仿宋_GB2312" w:eastAsia="仿宋_GB2312" w:cs="宋体"/>
          <w:b/>
          <w:sz w:val="28"/>
          <w:szCs w:val="28"/>
        </w:rPr>
        <w:t>第二部分 测试指标</w:t>
      </w:r>
    </w:p>
    <w:p>
      <w:pPr>
        <w:pStyle w:val="4"/>
        <w:spacing w:before="0" w:beforeAutospacing="0" w:after="0" w:afterAutospacing="0"/>
        <w:ind w:firstLine="420" w:firstLineChars="200"/>
        <w:rPr>
          <w:rFonts w:cs="宋体"/>
          <w:sz w:val="21"/>
          <w:szCs w:val="21"/>
        </w:rPr>
      </w:pPr>
      <w:r>
        <w:rPr>
          <w:rFonts w:hint="eastAsia" w:cs="宋体"/>
          <w:sz w:val="21"/>
          <w:szCs w:val="21"/>
        </w:rPr>
        <w:t>第</w:t>
      </w:r>
      <w:r>
        <w:rPr>
          <w:rFonts w:hint="eastAsia" w:cs="宋体"/>
          <w:sz w:val="21"/>
          <w:szCs w:val="21"/>
          <w:lang w:eastAsia="zh-CN"/>
        </w:rPr>
        <w:t>三</w:t>
      </w:r>
      <w:r>
        <w:rPr>
          <w:rFonts w:hint="eastAsia" w:cs="宋体"/>
          <w:sz w:val="21"/>
          <w:szCs w:val="21"/>
        </w:rPr>
        <w:t>条 基础性素质</w:t>
      </w:r>
      <w:r>
        <w:rPr>
          <w:rFonts w:hint="eastAsia" w:cs="宋体"/>
          <w:sz w:val="21"/>
          <w:szCs w:val="21"/>
          <w:lang w:eastAsia="zh-CN"/>
        </w:rPr>
        <w:t>的</w:t>
      </w:r>
      <w:r>
        <w:rPr>
          <w:rFonts w:hint="eastAsia" w:cs="宋体"/>
          <w:sz w:val="21"/>
          <w:szCs w:val="21"/>
        </w:rPr>
        <w:t>专业理论素质成绩由学科成绩和学分计算得出；发展性素质由实践能力、创新能力、人文素质三个一级模块构成，各模块成绩由累计加分得出，见表一。</w:t>
      </w:r>
    </w:p>
    <w:p>
      <w:pPr>
        <w:pStyle w:val="4"/>
        <w:spacing w:before="0" w:beforeAutospacing="0" w:after="0" w:afterAutospacing="0"/>
        <w:rPr>
          <w:rFonts w:hint="eastAsia" w:ascii="华文中宋" w:hAnsi="华文中宋" w:eastAsia="华文中宋" w:cs="华文中宋"/>
          <w:b/>
          <w:bCs/>
        </w:rPr>
      </w:pPr>
      <w:r>
        <w:rPr>
          <w:rFonts w:hint="eastAsia" w:cs="宋体"/>
          <w:sz w:val="21"/>
          <w:szCs w:val="21"/>
        </w:rPr>
        <w:t>表一：综合素质测评内容及其指标体系</w:t>
      </w:r>
    </w:p>
    <w:tbl>
      <w:tblPr>
        <w:tblStyle w:val="6"/>
        <w:tblpPr w:leftFromText="180" w:rightFromText="180" w:vertAnchor="text" w:horzAnchor="page" w:tblpXSpec="center" w:tblpY="57"/>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3"/>
        <w:gridCol w:w="979"/>
        <w:gridCol w:w="596"/>
        <w:gridCol w:w="598"/>
        <w:gridCol w:w="547"/>
        <w:gridCol w:w="548"/>
        <w:gridCol w:w="547"/>
        <w:gridCol w:w="549"/>
        <w:gridCol w:w="549"/>
        <w:gridCol w:w="548"/>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7" w:hRule="atLeast"/>
          <w:jc w:val="center"/>
        </w:trPr>
        <w:tc>
          <w:tcPr>
            <w:tcW w:w="1813" w:type="dxa"/>
            <w:vAlign w:val="center"/>
          </w:tcPr>
          <w:p>
            <w:pPr>
              <w:jc w:val="center"/>
              <w:rPr>
                <w:bCs/>
                <w:sz w:val="18"/>
                <w:szCs w:val="18"/>
              </w:rPr>
            </w:pPr>
          </w:p>
        </w:tc>
        <w:tc>
          <w:tcPr>
            <w:tcW w:w="979" w:type="dxa"/>
            <w:vAlign w:val="center"/>
          </w:tcPr>
          <w:p>
            <w:pPr>
              <w:jc w:val="center"/>
              <w:rPr>
                <w:bCs/>
                <w:sz w:val="18"/>
                <w:szCs w:val="18"/>
              </w:rPr>
            </w:pPr>
            <w:r>
              <w:rPr>
                <w:rFonts w:hint="eastAsia"/>
                <w:bCs/>
                <w:sz w:val="18"/>
                <w:szCs w:val="18"/>
              </w:rPr>
              <w:t>基础性素质</w:t>
            </w:r>
          </w:p>
        </w:tc>
        <w:tc>
          <w:tcPr>
            <w:tcW w:w="5028" w:type="dxa"/>
            <w:gridSpan w:val="9"/>
            <w:vAlign w:val="center"/>
          </w:tcPr>
          <w:p>
            <w:pPr>
              <w:jc w:val="center"/>
              <w:rPr>
                <w:bCs/>
                <w:sz w:val="18"/>
                <w:szCs w:val="18"/>
              </w:rPr>
            </w:pPr>
            <w:r>
              <w:rPr>
                <w:rFonts w:hint="eastAsia"/>
                <w:bCs/>
                <w:sz w:val="18"/>
                <w:szCs w:val="18"/>
              </w:rPr>
              <w:t>发展性素质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11" w:hRule="atLeast"/>
          <w:jc w:val="center"/>
        </w:trPr>
        <w:tc>
          <w:tcPr>
            <w:tcW w:w="1813" w:type="dxa"/>
            <w:vAlign w:val="center"/>
          </w:tcPr>
          <w:p>
            <w:pPr>
              <w:jc w:val="center"/>
              <w:rPr>
                <w:bCs/>
                <w:sz w:val="18"/>
                <w:szCs w:val="18"/>
              </w:rPr>
            </w:pPr>
            <w:r>
              <w:rPr>
                <w:rFonts w:hint="eastAsia"/>
                <w:bCs/>
                <w:sz w:val="18"/>
                <w:szCs w:val="18"/>
              </w:rPr>
              <w:t>一级素质模块</w:t>
            </w:r>
          </w:p>
        </w:tc>
        <w:tc>
          <w:tcPr>
            <w:tcW w:w="979" w:type="dxa"/>
            <w:vAlign w:val="center"/>
          </w:tcPr>
          <w:p>
            <w:pPr>
              <w:jc w:val="center"/>
              <w:rPr>
                <w:bCs/>
                <w:sz w:val="18"/>
                <w:szCs w:val="18"/>
              </w:rPr>
            </w:pPr>
            <w:r>
              <w:rPr>
                <w:rFonts w:hint="eastAsia"/>
                <w:bCs/>
                <w:sz w:val="18"/>
                <w:szCs w:val="18"/>
              </w:rPr>
              <w:t>专业理论素质</w:t>
            </w:r>
          </w:p>
          <w:p>
            <w:pPr>
              <w:jc w:val="center"/>
              <w:rPr>
                <w:bCs/>
                <w:sz w:val="18"/>
                <w:szCs w:val="18"/>
              </w:rPr>
            </w:pPr>
            <w:r>
              <w:rPr>
                <w:rFonts w:hint="eastAsia"/>
                <w:bCs/>
                <w:sz w:val="18"/>
                <w:szCs w:val="18"/>
              </w:rPr>
              <w:t>(M2)</w:t>
            </w:r>
          </w:p>
        </w:tc>
        <w:tc>
          <w:tcPr>
            <w:tcW w:w="1741" w:type="dxa"/>
            <w:gridSpan w:val="3"/>
            <w:vAlign w:val="center"/>
          </w:tcPr>
          <w:p>
            <w:pPr>
              <w:jc w:val="center"/>
              <w:rPr>
                <w:bCs/>
                <w:sz w:val="18"/>
                <w:szCs w:val="18"/>
              </w:rPr>
            </w:pPr>
            <w:r>
              <w:rPr>
                <w:rFonts w:hint="eastAsia"/>
                <w:bCs/>
                <w:sz w:val="18"/>
                <w:szCs w:val="18"/>
              </w:rPr>
              <w:t>创新能力</w:t>
            </w:r>
          </w:p>
          <w:p>
            <w:pPr>
              <w:jc w:val="center"/>
              <w:rPr>
                <w:bCs/>
                <w:sz w:val="18"/>
                <w:szCs w:val="18"/>
              </w:rPr>
            </w:pPr>
            <w:r>
              <w:rPr>
                <w:rFonts w:hint="eastAsia"/>
                <w:bCs/>
                <w:sz w:val="18"/>
                <w:szCs w:val="18"/>
              </w:rPr>
              <w:t>（D1）</w:t>
            </w:r>
          </w:p>
        </w:tc>
        <w:tc>
          <w:tcPr>
            <w:tcW w:w="1644" w:type="dxa"/>
            <w:gridSpan w:val="3"/>
            <w:vAlign w:val="center"/>
          </w:tcPr>
          <w:p>
            <w:pPr>
              <w:jc w:val="center"/>
              <w:rPr>
                <w:bCs/>
                <w:sz w:val="18"/>
                <w:szCs w:val="18"/>
              </w:rPr>
            </w:pPr>
            <w:r>
              <w:rPr>
                <w:rFonts w:hint="eastAsia"/>
                <w:bCs/>
                <w:sz w:val="18"/>
                <w:szCs w:val="18"/>
              </w:rPr>
              <w:t>实践能力</w:t>
            </w:r>
          </w:p>
          <w:p>
            <w:pPr>
              <w:jc w:val="center"/>
              <w:rPr>
                <w:bCs/>
                <w:sz w:val="18"/>
                <w:szCs w:val="18"/>
              </w:rPr>
            </w:pPr>
            <w:r>
              <w:rPr>
                <w:rFonts w:hint="eastAsia"/>
                <w:bCs/>
                <w:sz w:val="18"/>
                <w:szCs w:val="18"/>
              </w:rPr>
              <w:t>（D2）</w:t>
            </w:r>
          </w:p>
        </w:tc>
        <w:tc>
          <w:tcPr>
            <w:tcW w:w="1643" w:type="dxa"/>
            <w:gridSpan w:val="3"/>
            <w:vAlign w:val="center"/>
          </w:tcPr>
          <w:p>
            <w:pPr>
              <w:jc w:val="center"/>
              <w:rPr>
                <w:bCs/>
                <w:sz w:val="18"/>
                <w:szCs w:val="18"/>
              </w:rPr>
            </w:pPr>
            <w:r>
              <w:rPr>
                <w:rFonts w:hint="eastAsia"/>
                <w:bCs/>
                <w:sz w:val="18"/>
                <w:szCs w:val="18"/>
              </w:rPr>
              <w:t>人文素质</w:t>
            </w:r>
          </w:p>
          <w:p>
            <w:pPr>
              <w:jc w:val="center"/>
              <w:rPr>
                <w:bCs/>
                <w:sz w:val="18"/>
                <w:szCs w:val="18"/>
              </w:rPr>
            </w:pPr>
            <w:r>
              <w:rPr>
                <w:rFonts w:hint="eastAsia"/>
                <w:bCs/>
                <w:sz w:val="18"/>
                <w:szCs w:val="18"/>
              </w:rPr>
              <w:t>（D3）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84" w:hRule="atLeast"/>
          <w:jc w:val="center"/>
        </w:trPr>
        <w:tc>
          <w:tcPr>
            <w:tcW w:w="1813" w:type="dxa"/>
            <w:vAlign w:val="center"/>
          </w:tcPr>
          <w:p>
            <w:pPr>
              <w:jc w:val="center"/>
              <w:rPr>
                <w:bCs/>
                <w:sz w:val="18"/>
                <w:szCs w:val="18"/>
              </w:rPr>
            </w:pPr>
            <w:r>
              <w:rPr>
                <w:rFonts w:hint="eastAsia"/>
                <w:bCs/>
                <w:sz w:val="18"/>
                <w:szCs w:val="18"/>
              </w:rPr>
              <w:t>最高积分</w:t>
            </w:r>
          </w:p>
        </w:tc>
        <w:tc>
          <w:tcPr>
            <w:tcW w:w="979" w:type="dxa"/>
            <w:vAlign w:val="center"/>
          </w:tcPr>
          <w:p>
            <w:pPr>
              <w:jc w:val="center"/>
              <w:rPr>
                <w:bCs/>
                <w:sz w:val="18"/>
                <w:szCs w:val="18"/>
              </w:rPr>
            </w:pPr>
            <w:r>
              <w:rPr>
                <w:rFonts w:hint="eastAsia"/>
                <w:bCs/>
                <w:sz w:val="18"/>
                <w:szCs w:val="18"/>
              </w:rPr>
              <w:t>100分</w:t>
            </w:r>
          </w:p>
        </w:tc>
        <w:tc>
          <w:tcPr>
            <w:tcW w:w="1741" w:type="dxa"/>
            <w:gridSpan w:val="3"/>
            <w:vAlign w:val="center"/>
          </w:tcPr>
          <w:p>
            <w:pPr>
              <w:jc w:val="center"/>
              <w:rPr>
                <w:bCs/>
                <w:sz w:val="18"/>
                <w:szCs w:val="18"/>
              </w:rPr>
            </w:pPr>
            <w:r>
              <w:rPr>
                <w:rFonts w:hint="eastAsia"/>
                <w:bCs/>
                <w:sz w:val="18"/>
                <w:szCs w:val="18"/>
              </w:rPr>
              <w:t>不设上限</w:t>
            </w:r>
          </w:p>
        </w:tc>
        <w:tc>
          <w:tcPr>
            <w:tcW w:w="1644" w:type="dxa"/>
            <w:gridSpan w:val="3"/>
            <w:vAlign w:val="center"/>
          </w:tcPr>
          <w:p>
            <w:pPr>
              <w:jc w:val="center"/>
              <w:rPr>
                <w:bCs/>
                <w:sz w:val="18"/>
                <w:szCs w:val="18"/>
              </w:rPr>
            </w:pPr>
            <w:r>
              <w:rPr>
                <w:rFonts w:hint="eastAsia"/>
                <w:bCs/>
                <w:sz w:val="18"/>
                <w:szCs w:val="18"/>
              </w:rPr>
              <w:t>30</w:t>
            </w:r>
          </w:p>
        </w:tc>
        <w:tc>
          <w:tcPr>
            <w:tcW w:w="1643" w:type="dxa"/>
            <w:gridSpan w:val="3"/>
            <w:vAlign w:val="center"/>
          </w:tcPr>
          <w:p>
            <w:pPr>
              <w:jc w:val="center"/>
              <w:rPr>
                <w:bCs/>
                <w:sz w:val="18"/>
                <w:szCs w:val="18"/>
              </w:rPr>
            </w:pPr>
            <w:r>
              <w:rPr>
                <w:rFonts w:hint="eastAsia"/>
                <w:bCs/>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4" w:hRule="atLeast"/>
          <w:jc w:val="center"/>
        </w:trPr>
        <w:tc>
          <w:tcPr>
            <w:tcW w:w="1813" w:type="dxa"/>
            <w:vAlign w:val="center"/>
          </w:tcPr>
          <w:p>
            <w:pPr>
              <w:jc w:val="center"/>
              <w:rPr>
                <w:bCs/>
                <w:sz w:val="18"/>
                <w:szCs w:val="18"/>
              </w:rPr>
            </w:pPr>
            <w:r>
              <w:rPr>
                <w:rFonts w:hint="eastAsia"/>
                <w:bCs/>
                <w:sz w:val="18"/>
                <w:szCs w:val="18"/>
              </w:rPr>
              <w:t>最高分</w:t>
            </w:r>
          </w:p>
        </w:tc>
        <w:tc>
          <w:tcPr>
            <w:tcW w:w="979" w:type="dxa"/>
            <w:vAlign w:val="center"/>
          </w:tcPr>
          <w:p>
            <w:pPr>
              <w:jc w:val="center"/>
              <w:rPr>
                <w:bCs/>
                <w:sz w:val="18"/>
                <w:szCs w:val="18"/>
              </w:rPr>
            </w:pPr>
          </w:p>
        </w:tc>
        <w:tc>
          <w:tcPr>
            <w:tcW w:w="1741" w:type="dxa"/>
            <w:gridSpan w:val="3"/>
            <w:vAlign w:val="center"/>
          </w:tcPr>
          <w:p>
            <w:pPr>
              <w:jc w:val="center"/>
              <w:rPr>
                <w:bCs/>
                <w:sz w:val="18"/>
                <w:szCs w:val="18"/>
              </w:rPr>
            </w:pPr>
          </w:p>
        </w:tc>
        <w:tc>
          <w:tcPr>
            <w:tcW w:w="548" w:type="dxa"/>
            <w:vAlign w:val="center"/>
          </w:tcPr>
          <w:p>
            <w:pPr>
              <w:jc w:val="center"/>
              <w:rPr>
                <w:bCs/>
                <w:sz w:val="18"/>
                <w:szCs w:val="18"/>
              </w:rPr>
            </w:pPr>
            <w:r>
              <w:rPr>
                <w:rFonts w:hint="eastAsia"/>
                <w:bCs/>
                <w:sz w:val="18"/>
                <w:szCs w:val="18"/>
              </w:rPr>
              <w:t>12</w:t>
            </w:r>
          </w:p>
        </w:tc>
        <w:tc>
          <w:tcPr>
            <w:tcW w:w="547" w:type="dxa"/>
            <w:vAlign w:val="center"/>
          </w:tcPr>
          <w:p>
            <w:pPr>
              <w:jc w:val="center"/>
              <w:rPr>
                <w:bCs/>
                <w:sz w:val="18"/>
                <w:szCs w:val="18"/>
              </w:rPr>
            </w:pPr>
            <w:r>
              <w:rPr>
                <w:rFonts w:hint="eastAsia"/>
                <w:bCs/>
                <w:sz w:val="18"/>
                <w:szCs w:val="18"/>
              </w:rPr>
              <w:t>12</w:t>
            </w:r>
          </w:p>
        </w:tc>
        <w:tc>
          <w:tcPr>
            <w:tcW w:w="549" w:type="dxa"/>
            <w:vAlign w:val="center"/>
          </w:tcPr>
          <w:p>
            <w:pPr>
              <w:jc w:val="center"/>
              <w:rPr>
                <w:bCs/>
                <w:sz w:val="18"/>
                <w:szCs w:val="18"/>
              </w:rPr>
            </w:pPr>
            <w:r>
              <w:rPr>
                <w:rFonts w:hint="eastAsia"/>
                <w:bCs/>
                <w:sz w:val="18"/>
                <w:szCs w:val="18"/>
              </w:rPr>
              <w:t>6</w:t>
            </w:r>
          </w:p>
        </w:tc>
        <w:tc>
          <w:tcPr>
            <w:tcW w:w="549" w:type="dxa"/>
            <w:vAlign w:val="center"/>
          </w:tcPr>
          <w:p>
            <w:pPr>
              <w:jc w:val="center"/>
              <w:rPr>
                <w:bCs/>
                <w:sz w:val="18"/>
                <w:szCs w:val="18"/>
              </w:rPr>
            </w:pPr>
            <w:r>
              <w:rPr>
                <w:rFonts w:hint="eastAsia"/>
                <w:bCs/>
                <w:sz w:val="18"/>
                <w:szCs w:val="18"/>
              </w:rPr>
              <w:t>10</w:t>
            </w:r>
          </w:p>
        </w:tc>
        <w:tc>
          <w:tcPr>
            <w:tcW w:w="548" w:type="dxa"/>
            <w:vAlign w:val="center"/>
          </w:tcPr>
          <w:p>
            <w:pPr>
              <w:jc w:val="center"/>
              <w:rPr>
                <w:bCs/>
                <w:sz w:val="18"/>
                <w:szCs w:val="18"/>
              </w:rPr>
            </w:pPr>
            <w:r>
              <w:rPr>
                <w:rFonts w:hint="eastAsia"/>
                <w:bCs/>
                <w:sz w:val="18"/>
                <w:szCs w:val="18"/>
              </w:rPr>
              <w:t>10</w:t>
            </w:r>
          </w:p>
        </w:tc>
        <w:tc>
          <w:tcPr>
            <w:tcW w:w="546" w:type="dxa"/>
            <w:vAlign w:val="center"/>
          </w:tcPr>
          <w:p>
            <w:pPr>
              <w:jc w:val="center"/>
              <w:rPr>
                <w:bCs/>
                <w:sz w:val="18"/>
                <w:szCs w:val="18"/>
              </w:rPr>
            </w:pPr>
            <w:r>
              <w:rPr>
                <w:rFonts w:hint="eastAsia"/>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33" w:hRule="atLeast"/>
          <w:jc w:val="center"/>
        </w:trPr>
        <w:tc>
          <w:tcPr>
            <w:tcW w:w="1813" w:type="dxa"/>
            <w:vAlign w:val="center"/>
          </w:tcPr>
          <w:p>
            <w:pPr>
              <w:jc w:val="center"/>
              <w:rPr>
                <w:bCs/>
                <w:sz w:val="18"/>
                <w:szCs w:val="18"/>
              </w:rPr>
            </w:pPr>
            <w:r>
              <w:rPr>
                <w:rFonts w:hint="eastAsia"/>
                <w:bCs/>
                <w:sz w:val="18"/>
                <w:szCs w:val="18"/>
              </w:rPr>
              <w:t>测评指标</w:t>
            </w:r>
          </w:p>
        </w:tc>
        <w:tc>
          <w:tcPr>
            <w:tcW w:w="979" w:type="dxa"/>
            <w:vAlign w:val="center"/>
          </w:tcPr>
          <w:p>
            <w:pPr>
              <w:spacing w:line="240" w:lineRule="exact"/>
              <w:jc w:val="center"/>
              <w:rPr>
                <w:bCs/>
                <w:sz w:val="18"/>
                <w:szCs w:val="18"/>
              </w:rPr>
            </w:pPr>
            <w:r>
              <w:rPr>
                <w:rFonts w:hint="eastAsia"/>
                <w:bCs/>
                <w:sz w:val="18"/>
                <w:szCs w:val="18"/>
              </w:rPr>
              <w:t>平均</w:t>
            </w:r>
          </w:p>
          <w:p>
            <w:pPr>
              <w:spacing w:line="240" w:lineRule="exact"/>
              <w:jc w:val="center"/>
              <w:rPr>
                <w:bCs/>
                <w:sz w:val="18"/>
                <w:szCs w:val="18"/>
              </w:rPr>
            </w:pPr>
            <w:r>
              <w:rPr>
                <w:rFonts w:hint="eastAsia"/>
                <w:bCs/>
                <w:sz w:val="18"/>
                <w:szCs w:val="18"/>
              </w:rPr>
              <w:t>学分</w:t>
            </w:r>
          </w:p>
          <w:p>
            <w:pPr>
              <w:spacing w:line="240" w:lineRule="exact"/>
              <w:jc w:val="center"/>
              <w:rPr>
                <w:bCs/>
                <w:sz w:val="18"/>
                <w:szCs w:val="18"/>
              </w:rPr>
            </w:pPr>
            <w:r>
              <w:rPr>
                <w:rFonts w:hint="eastAsia"/>
                <w:bCs/>
                <w:sz w:val="18"/>
                <w:szCs w:val="18"/>
              </w:rPr>
              <w:t>绩点</w:t>
            </w:r>
            <w:r>
              <w:rPr>
                <w:rFonts w:hint="eastAsia"/>
                <w:bCs/>
                <w:sz w:val="18"/>
                <w:szCs w:val="18"/>
                <w:highlight w:val="magenta"/>
                <w:lang w:val="en-US" w:eastAsia="zh-CN"/>
              </w:rPr>
              <w:t>(不含素质教育实践课程选修)</w:t>
            </w:r>
          </w:p>
        </w:tc>
        <w:tc>
          <w:tcPr>
            <w:tcW w:w="596" w:type="dxa"/>
            <w:textDirection w:val="tbRlV"/>
            <w:vAlign w:val="center"/>
          </w:tcPr>
          <w:p>
            <w:pPr>
              <w:ind w:left="113" w:right="113"/>
              <w:rPr>
                <w:bCs/>
                <w:sz w:val="18"/>
                <w:szCs w:val="18"/>
              </w:rPr>
            </w:pPr>
            <w:r>
              <w:rPr>
                <w:rFonts w:hint="eastAsia" w:ascii="宋体" w:hAnsi="宋体"/>
                <w:kern w:val="0"/>
                <w:sz w:val="18"/>
              </w:rPr>
              <w:t>科技竞赛</w:t>
            </w:r>
          </w:p>
        </w:tc>
        <w:tc>
          <w:tcPr>
            <w:tcW w:w="598" w:type="dxa"/>
            <w:textDirection w:val="tbRlV"/>
            <w:vAlign w:val="center"/>
          </w:tcPr>
          <w:p>
            <w:pPr>
              <w:ind w:left="113" w:right="113"/>
              <w:rPr>
                <w:bCs/>
                <w:sz w:val="18"/>
                <w:szCs w:val="18"/>
              </w:rPr>
            </w:pPr>
            <w:r>
              <w:rPr>
                <w:rFonts w:hint="eastAsia" w:ascii="宋体" w:hAnsi="宋体"/>
                <w:kern w:val="0"/>
                <w:sz w:val="18"/>
              </w:rPr>
              <w:t>科技论文</w:t>
            </w:r>
          </w:p>
        </w:tc>
        <w:tc>
          <w:tcPr>
            <w:tcW w:w="547" w:type="dxa"/>
            <w:textDirection w:val="tbRlV"/>
            <w:vAlign w:val="center"/>
          </w:tcPr>
          <w:p>
            <w:pPr>
              <w:ind w:left="113" w:right="113"/>
              <w:rPr>
                <w:bCs/>
                <w:sz w:val="18"/>
                <w:szCs w:val="18"/>
              </w:rPr>
            </w:pPr>
            <w:r>
              <w:rPr>
                <w:rFonts w:hint="eastAsia"/>
                <w:bCs/>
                <w:sz w:val="18"/>
                <w:szCs w:val="18"/>
              </w:rPr>
              <w:t>科技活动</w:t>
            </w:r>
          </w:p>
        </w:tc>
        <w:tc>
          <w:tcPr>
            <w:tcW w:w="548" w:type="dxa"/>
            <w:textDirection w:val="tbRlV"/>
            <w:vAlign w:val="center"/>
          </w:tcPr>
          <w:p>
            <w:pPr>
              <w:ind w:left="113" w:right="113"/>
              <w:rPr>
                <w:bCs/>
                <w:sz w:val="18"/>
                <w:szCs w:val="18"/>
              </w:rPr>
            </w:pPr>
            <w:r>
              <w:rPr>
                <w:rFonts w:hint="eastAsia" w:ascii="宋体" w:hAnsi="宋体"/>
                <w:kern w:val="0"/>
                <w:sz w:val="18"/>
              </w:rPr>
              <w:t>组织管理</w:t>
            </w:r>
          </w:p>
        </w:tc>
        <w:tc>
          <w:tcPr>
            <w:tcW w:w="547" w:type="dxa"/>
            <w:textDirection w:val="tbRlV"/>
            <w:vAlign w:val="center"/>
          </w:tcPr>
          <w:p>
            <w:pPr>
              <w:ind w:left="113" w:right="113"/>
              <w:rPr>
                <w:bCs/>
                <w:sz w:val="18"/>
                <w:szCs w:val="18"/>
              </w:rPr>
            </w:pPr>
            <w:r>
              <w:rPr>
                <w:rFonts w:hint="eastAsia" w:ascii="宋体" w:hAnsi="宋体"/>
                <w:kern w:val="0"/>
                <w:sz w:val="18"/>
              </w:rPr>
              <w:t>社会活动</w:t>
            </w:r>
          </w:p>
        </w:tc>
        <w:tc>
          <w:tcPr>
            <w:tcW w:w="549" w:type="dxa"/>
            <w:textDirection w:val="tbRlV"/>
            <w:vAlign w:val="center"/>
          </w:tcPr>
          <w:p>
            <w:pPr>
              <w:ind w:left="113" w:right="113"/>
              <w:rPr>
                <w:bCs/>
                <w:sz w:val="18"/>
                <w:szCs w:val="18"/>
              </w:rPr>
            </w:pPr>
            <w:r>
              <w:rPr>
                <w:rFonts w:hint="eastAsia" w:ascii="宋体" w:hAnsi="宋体"/>
                <w:kern w:val="0"/>
                <w:sz w:val="18"/>
              </w:rPr>
              <w:t>特殊表彰</w:t>
            </w:r>
          </w:p>
        </w:tc>
        <w:tc>
          <w:tcPr>
            <w:tcW w:w="549" w:type="dxa"/>
            <w:textDirection w:val="tbRlV"/>
            <w:vAlign w:val="center"/>
          </w:tcPr>
          <w:p>
            <w:pPr>
              <w:ind w:left="113" w:right="113"/>
              <w:rPr>
                <w:bCs/>
                <w:sz w:val="18"/>
                <w:szCs w:val="18"/>
              </w:rPr>
            </w:pPr>
            <w:r>
              <w:rPr>
                <w:rFonts w:hint="eastAsia" w:ascii="宋体" w:hAnsi="宋体"/>
                <w:kern w:val="0"/>
                <w:sz w:val="18"/>
              </w:rPr>
              <w:t>文体特长</w:t>
            </w:r>
          </w:p>
        </w:tc>
        <w:tc>
          <w:tcPr>
            <w:tcW w:w="548" w:type="dxa"/>
            <w:textDirection w:val="tbRlV"/>
            <w:vAlign w:val="center"/>
          </w:tcPr>
          <w:p>
            <w:pPr>
              <w:ind w:left="113" w:right="113"/>
              <w:rPr>
                <w:bCs/>
                <w:sz w:val="18"/>
                <w:szCs w:val="18"/>
              </w:rPr>
            </w:pPr>
            <w:r>
              <w:rPr>
                <w:rFonts w:hint="eastAsia" w:ascii="宋体" w:hAnsi="宋体"/>
                <w:kern w:val="0"/>
                <w:sz w:val="18"/>
              </w:rPr>
              <w:t>拓展技能</w:t>
            </w:r>
          </w:p>
        </w:tc>
        <w:tc>
          <w:tcPr>
            <w:tcW w:w="546" w:type="dxa"/>
            <w:textDirection w:val="tbRlV"/>
            <w:vAlign w:val="center"/>
          </w:tcPr>
          <w:p>
            <w:pPr>
              <w:ind w:left="113" w:right="113"/>
              <w:rPr>
                <w:bCs/>
                <w:sz w:val="18"/>
                <w:szCs w:val="18"/>
              </w:rPr>
            </w:pPr>
            <w:r>
              <w:rPr>
                <w:rFonts w:hint="eastAsia" w:ascii="宋体" w:hAnsi="宋体"/>
                <w:kern w:val="0"/>
                <w:sz w:val="18"/>
              </w:rPr>
              <w:t>第二课堂</w:t>
            </w:r>
          </w:p>
        </w:tc>
      </w:tr>
    </w:tbl>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hint="eastAsia" w:ascii="华文中宋" w:hAnsi="华文中宋" w:eastAsia="华文中宋" w:cs="华文中宋"/>
          <w:b/>
          <w:bCs/>
          <w:lang w:eastAsia="zh-CN"/>
        </w:rPr>
      </w:pPr>
    </w:p>
    <w:p>
      <w:pPr>
        <w:pStyle w:val="4"/>
        <w:spacing w:before="0" w:beforeAutospacing="0" w:after="0" w:afterAutospacing="0"/>
        <w:rPr>
          <w:rFonts w:ascii="华文中宋" w:hAnsi="华文中宋" w:eastAsia="华文中宋" w:cs="华文中宋"/>
          <w:b/>
          <w:bCs/>
        </w:rPr>
      </w:pPr>
      <w:r>
        <w:rPr>
          <w:rFonts w:hint="eastAsia" w:ascii="华文中宋" w:hAnsi="华文中宋" w:eastAsia="华文中宋" w:cs="华文中宋"/>
          <w:b/>
          <w:bCs/>
          <w:lang w:eastAsia="zh-CN"/>
        </w:rPr>
        <w:t>一、</w:t>
      </w:r>
      <w:r>
        <w:rPr>
          <w:rFonts w:hint="eastAsia" w:ascii="华文中宋" w:hAnsi="华文中宋" w:eastAsia="华文中宋" w:cs="华文中宋"/>
          <w:b/>
          <w:bCs/>
        </w:rPr>
        <w:t>专业理论素质模块测评（M</w:t>
      </w:r>
      <w:r>
        <w:rPr>
          <w:rFonts w:hint="eastAsia" w:ascii="华文中宋" w:hAnsi="华文中宋" w:eastAsia="华文中宋" w:cs="华文中宋"/>
          <w:b/>
          <w:bCs/>
          <w:vertAlign w:val="subscript"/>
        </w:rPr>
        <w:t>2</w:t>
      </w:r>
      <w:r>
        <w:rPr>
          <w:rFonts w:hint="eastAsia" w:ascii="华文中宋" w:hAnsi="华文中宋" w:eastAsia="华文中宋" w:cs="华文中宋"/>
          <w:b/>
          <w:bCs/>
        </w:rPr>
        <w:t>）</w:t>
      </w:r>
    </w:p>
    <w:p>
      <w:pPr>
        <w:pStyle w:val="4"/>
        <w:spacing w:before="0" w:beforeAutospacing="0" w:after="0" w:afterAutospacing="0"/>
        <w:ind w:firstLine="420" w:firstLineChars="200"/>
        <w:rPr>
          <w:rFonts w:cs="宋体"/>
          <w:sz w:val="21"/>
          <w:szCs w:val="21"/>
        </w:rPr>
      </w:pPr>
      <w:r>
        <w:rPr>
          <w:rFonts w:hint="eastAsia" w:cs="宋体"/>
          <w:sz w:val="21"/>
          <w:szCs w:val="21"/>
        </w:rPr>
        <w:t>以学年平均学分绩点和修正系数计算学生专业理论素质。</w:t>
      </w:r>
    </w:p>
    <w:p>
      <w:pPr>
        <w:pStyle w:val="4"/>
        <w:spacing w:before="0" w:beforeAutospacing="0" w:after="0" w:afterAutospacing="0"/>
        <w:ind w:firstLine="420" w:firstLineChars="200"/>
        <w:rPr>
          <w:rFonts w:cs="宋体"/>
          <w:sz w:val="21"/>
          <w:szCs w:val="21"/>
        </w:rPr>
      </w:pPr>
      <w:r>
        <w:rPr>
          <w:rFonts w:hint="eastAsia" w:cs="宋体"/>
          <w:sz w:val="21"/>
          <w:szCs w:val="21"/>
        </w:rPr>
        <w:t>专业理论素质（M2）得分用公式表示为：</w:t>
      </w:r>
    </w:p>
    <w:p>
      <w:pPr>
        <w:pStyle w:val="4"/>
        <w:spacing w:before="0" w:beforeAutospacing="0" w:after="0" w:afterAutospacing="0"/>
        <w:ind w:firstLine="420" w:firstLineChars="200"/>
        <w:rPr>
          <w:rFonts w:hint="eastAsia" w:cs="宋体"/>
          <w:sz w:val="21"/>
          <w:szCs w:val="21"/>
        </w:rPr>
      </w:pPr>
      <w:r>
        <w:rPr>
          <w:rFonts w:hint="eastAsia" w:cs="宋体"/>
          <w:sz w:val="21"/>
          <w:szCs w:val="21"/>
        </w:rPr>
        <w:t>M2=学年平均学分绩点×22.25</w:t>
      </w:r>
    </w:p>
    <w:p>
      <w:pPr>
        <w:pStyle w:val="4"/>
        <w:spacing w:before="0" w:beforeAutospacing="0" w:after="0" w:afterAutospacing="0"/>
        <w:ind w:firstLine="422" w:firstLineChars="200"/>
        <w:rPr>
          <w:rFonts w:hint="eastAsia" w:cs="宋体"/>
          <w:b/>
          <w:bCs/>
          <w:sz w:val="21"/>
          <w:szCs w:val="21"/>
          <w:lang w:val="en-US" w:eastAsia="zh-CN"/>
        </w:rPr>
      </w:pPr>
      <w:r>
        <w:rPr>
          <w:rFonts w:hint="eastAsia" w:cs="宋体"/>
          <w:b/>
          <w:bCs/>
          <w:sz w:val="21"/>
          <w:szCs w:val="21"/>
          <w:lang w:eastAsia="zh-CN"/>
        </w:rPr>
        <w:t>注</w:t>
      </w:r>
      <w:r>
        <w:rPr>
          <w:rFonts w:hint="eastAsia" w:cs="宋体"/>
          <w:b/>
          <w:bCs/>
          <w:sz w:val="21"/>
          <w:szCs w:val="21"/>
          <w:highlight w:val="magenta"/>
          <w:lang w:eastAsia="zh-CN"/>
        </w:rPr>
        <w:t>意：</w:t>
      </w:r>
      <w:r>
        <w:rPr>
          <w:rFonts w:hint="eastAsia" w:cs="宋体"/>
          <w:b/>
          <w:bCs/>
          <w:sz w:val="21"/>
          <w:szCs w:val="21"/>
          <w:highlight w:val="magenta"/>
          <w:lang w:val="en-US" w:eastAsia="zh-CN"/>
        </w:rPr>
        <w:t>学年平均学分绩点(不含素质教育实践课程选修)</w:t>
      </w:r>
    </w:p>
    <w:p>
      <w:pPr>
        <w:pStyle w:val="4"/>
        <w:spacing w:before="0" w:beforeAutospacing="0" w:after="0" w:afterAutospacing="0"/>
        <w:rPr>
          <w:rFonts w:ascii="华文中宋" w:hAnsi="华文中宋" w:eastAsia="华文中宋" w:cs="华文中宋"/>
          <w:b/>
          <w:bCs/>
        </w:rPr>
      </w:pPr>
      <w:r>
        <w:rPr>
          <w:rFonts w:hint="eastAsia" w:ascii="华文中宋" w:hAnsi="华文中宋" w:eastAsia="华文中宋" w:cs="华文中宋"/>
          <w:b/>
          <w:bCs/>
        </w:rPr>
        <w:t>二、发展性素质测评（D）</w:t>
      </w:r>
    </w:p>
    <w:p>
      <w:pPr>
        <w:pStyle w:val="4"/>
        <w:spacing w:before="0" w:beforeAutospacing="0" w:after="0" w:afterAutospacing="0"/>
        <w:rPr>
          <w:rFonts w:ascii="华文中宋" w:hAnsi="华文中宋" w:eastAsia="华文中宋" w:cs="华文中宋"/>
          <w:b/>
          <w:bCs/>
        </w:rPr>
      </w:pPr>
      <w:r>
        <w:rPr>
          <w:rFonts w:hint="eastAsia" w:ascii="华文中宋" w:hAnsi="华文中宋" w:eastAsia="华文中宋" w:cs="华文中宋"/>
          <w:b/>
          <w:bCs/>
        </w:rPr>
        <w:t>1．创新能力模块（D</w:t>
      </w:r>
      <w:r>
        <w:rPr>
          <w:rFonts w:hint="eastAsia" w:ascii="华文中宋" w:hAnsi="华文中宋" w:eastAsia="华文中宋" w:cs="华文中宋"/>
          <w:b/>
          <w:bCs/>
          <w:vertAlign w:val="subscript"/>
        </w:rPr>
        <w:t>1</w:t>
      </w:r>
      <w:r>
        <w:rPr>
          <w:rFonts w:hint="eastAsia" w:ascii="华文中宋" w:hAnsi="华文中宋" w:eastAsia="华文中宋" w:cs="华文中宋"/>
          <w:b/>
          <w:bCs/>
        </w:rPr>
        <w:t>）</w:t>
      </w:r>
    </w:p>
    <w:p>
      <w:pPr>
        <w:pStyle w:val="4"/>
        <w:spacing w:before="0" w:beforeAutospacing="0" w:after="0" w:afterAutospacing="0"/>
        <w:ind w:firstLine="420" w:firstLineChars="200"/>
        <w:rPr>
          <w:rFonts w:cs="宋体"/>
          <w:sz w:val="21"/>
          <w:szCs w:val="21"/>
        </w:rPr>
      </w:pPr>
      <w:r>
        <w:rPr>
          <w:rFonts w:cs="宋体"/>
          <w:sz w:val="21"/>
          <w:szCs w:val="21"/>
        </w:rPr>
        <w:t>（1）科技竞赛</w:t>
      </w:r>
      <w:r>
        <w:rPr>
          <w:rFonts w:hint="eastAsia" w:cs="宋体"/>
          <w:sz w:val="21"/>
          <w:szCs w:val="21"/>
        </w:rPr>
        <w:t>。</w:t>
      </w:r>
      <w:r>
        <w:rPr>
          <w:rFonts w:cs="宋体"/>
          <w:sz w:val="21"/>
          <w:szCs w:val="21"/>
        </w:rPr>
        <w:t>参加校级</w:t>
      </w:r>
      <w:r>
        <w:rPr>
          <w:rFonts w:hint="eastAsia" w:cs="宋体"/>
          <w:sz w:val="21"/>
          <w:szCs w:val="21"/>
        </w:rPr>
        <w:t>及</w:t>
      </w:r>
      <w:r>
        <w:rPr>
          <w:rFonts w:cs="宋体"/>
          <w:sz w:val="21"/>
          <w:szCs w:val="21"/>
        </w:rPr>
        <w:t>以上</w:t>
      </w:r>
      <w:r>
        <w:rPr>
          <w:rFonts w:hint="eastAsia" w:cs="宋体"/>
          <w:sz w:val="21"/>
          <w:szCs w:val="21"/>
        </w:rPr>
        <w:t>学生</w:t>
      </w:r>
      <w:r>
        <w:rPr>
          <w:rFonts w:cs="宋体"/>
          <w:sz w:val="21"/>
          <w:szCs w:val="21"/>
        </w:rPr>
        <w:t>科研成果竞赛</w:t>
      </w:r>
      <w:r>
        <w:rPr>
          <w:rFonts w:hint="eastAsia" w:cs="宋体"/>
          <w:sz w:val="21"/>
          <w:szCs w:val="21"/>
        </w:rPr>
        <w:t>（如：“挑战杯”杯科技作品竞赛、电子设计竞赛等）获得表彰为依据（须</w:t>
      </w:r>
      <w:r>
        <w:rPr>
          <w:rFonts w:cs="宋体"/>
          <w:sz w:val="21"/>
          <w:szCs w:val="21"/>
        </w:rPr>
        <w:t>以获奖证书或文件为依据</w:t>
      </w:r>
      <w:r>
        <w:rPr>
          <w:rFonts w:hint="eastAsia" w:cs="宋体"/>
          <w:sz w:val="21"/>
          <w:szCs w:val="21"/>
        </w:rPr>
        <w:t>）</w:t>
      </w:r>
      <w:r>
        <w:rPr>
          <w:rFonts w:cs="宋体"/>
          <w:sz w:val="21"/>
          <w:szCs w:val="21"/>
        </w:rPr>
        <w:t>。</w:t>
      </w:r>
      <w:r>
        <w:rPr>
          <w:rFonts w:hint="eastAsia" w:cs="宋体"/>
          <w:sz w:val="21"/>
          <w:szCs w:val="21"/>
        </w:rPr>
        <w:t>每项成果只计算最高等级，不设上限。</w:t>
      </w:r>
    </w:p>
    <w:p>
      <w:pPr>
        <w:pStyle w:val="4"/>
        <w:spacing w:before="0" w:beforeAutospacing="0" w:after="0" w:afterAutospacing="0"/>
        <w:ind w:firstLine="420" w:firstLineChars="200"/>
        <w:outlineLvl w:val="0"/>
        <w:rPr>
          <w:rFonts w:cs="宋体"/>
          <w:sz w:val="21"/>
          <w:szCs w:val="21"/>
        </w:rPr>
      </w:pPr>
      <w:r>
        <w:rPr>
          <w:rFonts w:hint="eastAsia" w:cs="宋体"/>
          <w:sz w:val="21"/>
          <w:szCs w:val="21"/>
        </w:rPr>
        <w:t>（2）科技论文。</w:t>
      </w:r>
      <w:r>
        <w:rPr>
          <w:rFonts w:cs="宋体"/>
          <w:sz w:val="21"/>
          <w:szCs w:val="21"/>
        </w:rPr>
        <w:t>科技学术论文以所载正式刊物为依据</w:t>
      </w:r>
      <w:r>
        <w:rPr>
          <w:rFonts w:hint="eastAsia" w:cs="宋体"/>
          <w:sz w:val="21"/>
          <w:szCs w:val="21"/>
        </w:rPr>
        <w:t>（每篇论文只计算最高等级），不设上限。</w:t>
      </w:r>
    </w:p>
    <w:p>
      <w:pPr>
        <w:pStyle w:val="4"/>
        <w:spacing w:before="0" w:beforeAutospacing="0" w:after="0" w:afterAutospacing="0"/>
        <w:ind w:firstLine="420" w:firstLineChars="200"/>
        <w:outlineLvl w:val="0"/>
        <w:rPr>
          <w:rFonts w:cs="宋体"/>
          <w:sz w:val="21"/>
          <w:szCs w:val="21"/>
        </w:rPr>
      </w:pPr>
      <w:r>
        <w:rPr>
          <w:rFonts w:hint="eastAsia" w:cs="宋体"/>
          <w:sz w:val="21"/>
          <w:szCs w:val="21"/>
        </w:rPr>
        <w:t>（3）科技活动。参加院级及以上学生科研项目，以立项文件为依据，不设上限。</w:t>
      </w:r>
    </w:p>
    <w:p>
      <w:pPr>
        <w:pStyle w:val="4"/>
        <w:spacing w:before="0" w:beforeAutospacing="0" w:after="0" w:afterAutospacing="0"/>
        <w:rPr>
          <w:rFonts w:ascii="华文中宋" w:hAnsi="华文中宋" w:eastAsia="华文中宋" w:cs="华文中宋"/>
          <w:b/>
          <w:bCs/>
        </w:rPr>
      </w:pPr>
      <w:r>
        <w:rPr>
          <w:rFonts w:hint="eastAsia" w:ascii="华文中宋" w:hAnsi="华文中宋" w:eastAsia="华文中宋" w:cs="华文中宋"/>
          <w:b/>
          <w:bCs/>
        </w:rPr>
        <w:t>2．实践能力模块（D</w:t>
      </w:r>
      <w:r>
        <w:rPr>
          <w:rFonts w:hint="eastAsia" w:ascii="华文中宋" w:hAnsi="华文中宋" w:eastAsia="华文中宋" w:cs="华文中宋"/>
          <w:b/>
          <w:bCs/>
          <w:vertAlign w:val="subscript"/>
        </w:rPr>
        <w:t>2</w:t>
      </w:r>
      <w:r>
        <w:rPr>
          <w:rFonts w:hint="eastAsia" w:ascii="华文中宋" w:hAnsi="华文中宋" w:eastAsia="华文中宋" w:cs="华文中宋"/>
          <w:b/>
          <w:bCs/>
        </w:rPr>
        <w:t>）</w:t>
      </w:r>
    </w:p>
    <w:p>
      <w:pPr>
        <w:pStyle w:val="4"/>
        <w:spacing w:before="0" w:beforeAutospacing="0" w:after="0" w:afterAutospacing="0"/>
        <w:ind w:firstLine="420" w:firstLineChars="200"/>
        <w:rPr>
          <w:rFonts w:cs="宋体"/>
          <w:sz w:val="21"/>
          <w:szCs w:val="21"/>
        </w:rPr>
      </w:pPr>
      <w:r>
        <w:rPr>
          <w:rFonts w:hint="eastAsia" w:cs="宋体"/>
          <w:sz w:val="21"/>
          <w:szCs w:val="21"/>
        </w:rPr>
        <w:t>（1）组织管理。组织管理包括两个方面：一方面是学生在学生团体中的任职情况，另一方面是学生作为学生干部时获得的个人或团体的“先进个人”表彰情况。</w:t>
      </w:r>
      <w:r>
        <w:rPr>
          <w:rFonts w:cs="宋体"/>
          <w:sz w:val="21"/>
          <w:szCs w:val="21"/>
        </w:rPr>
        <w:t>学生干部指校、院</w:t>
      </w:r>
      <w:r>
        <w:rPr>
          <w:rFonts w:hint="eastAsia" w:cs="宋体"/>
          <w:sz w:val="21"/>
          <w:szCs w:val="21"/>
        </w:rPr>
        <w:t>两</w:t>
      </w:r>
      <w:r>
        <w:rPr>
          <w:rFonts w:cs="宋体"/>
          <w:sz w:val="21"/>
          <w:szCs w:val="21"/>
        </w:rPr>
        <w:t>级</w:t>
      </w:r>
      <w:r>
        <w:rPr>
          <w:rFonts w:hint="eastAsia" w:cs="宋体"/>
          <w:sz w:val="21"/>
          <w:szCs w:val="21"/>
        </w:rPr>
        <w:t>学</w:t>
      </w:r>
      <w:r>
        <w:rPr>
          <w:rFonts w:cs="宋体"/>
          <w:sz w:val="21"/>
          <w:szCs w:val="21"/>
        </w:rPr>
        <w:t>团</w:t>
      </w:r>
      <w:r>
        <w:rPr>
          <w:rFonts w:hint="eastAsia" w:cs="宋体"/>
          <w:sz w:val="21"/>
          <w:szCs w:val="21"/>
        </w:rPr>
        <w:t>组织</w:t>
      </w:r>
      <w:r>
        <w:rPr>
          <w:rFonts w:cs="宋体"/>
          <w:sz w:val="21"/>
          <w:szCs w:val="21"/>
        </w:rPr>
        <w:t>、学生会</w:t>
      </w:r>
      <w:r>
        <w:rPr>
          <w:rFonts w:hint="eastAsia" w:cs="宋体"/>
          <w:sz w:val="21"/>
          <w:szCs w:val="21"/>
        </w:rPr>
        <w:t>，</w:t>
      </w:r>
      <w:r>
        <w:rPr>
          <w:rFonts w:cs="宋体"/>
          <w:sz w:val="21"/>
          <w:szCs w:val="21"/>
        </w:rPr>
        <w:t>学生社团</w:t>
      </w:r>
      <w:r>
        <w:rPr>
          <w:rFonts w:hint="eastAsia" w:cs="宋体"/>
          <w:sz w:val="21"/>
          <w:szCs w:val="21"/>
        </w:rPr>
        <w:t>，学生党务秘书处、党支部，</w:t>
      </w:r>
      <w:r>
        <w:rPr>
          <w:rFonts w:cs="宋体"/>
          <w:sz w:val="21"/>
          <w:szCs w:val="21"/>
        </w:rPr>
        <w:t>班团</w:t>
      </w:r>
      <w:r>
        <w:rPr>
          <w:rFonts w:hint="eastAsia" w:cs="宋体"/>
          <w:sz w:val="21"/>
          <w:szCs w:val="21"/>
        </w:rPr>
        <w:t>等组织的学生干部</w:t>
      </w:r>
      <w:r>
        <w:rPr>
          <w:rFonts w:cs="宋体"/>
          <w:sz w:val="21"/>
          <w:szCs w:val="21"/>
        </w:rPr>
        <w:t>。 对学生干部的评价实行统一</w:t>
      </w:r>
      <w:r>
        <w:rPr>
          <w:rFonts w:hint="eastAsia" w:cs="宋体"/>
          <w:sz w:val="21"/>
          <w:szCs w:val="21"/>
        </w:rPr>
        <w:t>标准</w:t>
      </w:r>
      <w:r>
        <w:rPr>
          <w:rFonts w:cs="宋体"/>
          <w:sz w:val="21"/>
          <w:szCs w:val="21"/>
        </w:rPr>
        <w:t>，分级考核，由任用</w:t>
      </w:r>
      <w:r>
        <w:rPr>
          <w:rFonts w:hint="eastAsia" w:cs="宋体"/>
          <w:sz w:val="21"/>
          <w:szCs w:val="21"/>
        </w:rPr>
        <w:t>部门</w:t>
      </w:r>
      <w:r>
        <w:rPr>
          <w:rFonts w:cs="宋体"/>
          <w:sz w:val="21"/>
          <w:szCs w:val="21"/>
        </w:rPr>
        <w:t>进行考核，确定等级。</w:t>
      </w:r>
      <w:r>
        <w:rPr>
          <w:rFonts w:hint="eastAsia" w:cs="宋体"/>
          <w:sz w:val="21"/>
          <w:szCs w:val="21"/>
        </w:rPr>
        <w:t>若身兼数职，则以一项为主，其他计算30%，分限12分（此项加分以在学院进行登记考核结果为依据，须符合任职期满和考核合格两个条件）。</w:t>
      </w:r>
    </w:p>
    <w:p>
      <w:pPr>
        <w:pStyle w:val="4"/>
        <w:spacing w:before="0" w:beforeAutospacing="0" w:after="0" w:afterAutospacing="0"/>
        <w:ind w:firstLine="420" w:firstLineChars="200"/>
        <w:rPr>
          <w:rFonts w:cs="宋体"/>
          <w:sz w:val="21"/>
          <w:szCs w:val="21"/>
        </w:rPr>
      </w:pPr>
      <w:r>
        <w:rPr>
          <w:rFonts w:hint="eastAsia" w:cs="宋体"/>
          <w:sz w:val="21"/>
          <w:szCs w:val="21"/>
        </w:rPr>
        <w:t>（2）社会活动。社会活动包括学生在策划、组织和参与学校、学院和班级积极健康的社会活动,分限12分（此项加分以在学院备案或相关证明文件为依据）。</w:t>
      </w:r>
    </w:p>
    <w:p>
      <w:pPr>
        <w:pStyle w:val="4"/>
        <w:spacing w:before="0" w:beforeAutospacing="0" w:after="0" w:afterAutospacing="0"/>
        <w:ind w:firstLine="420" w:firstLineChars="200"/>
        <w:rPr>
          <w:rFonts w:cs="宋体"/>
          <w:sz w:val="21"/>
          <w:szCs w:val="21"/>
        </w:rPr>
      </w:pPr>
      <w:r>
        <w:rPr>
          <w:rFonts w:hint="eastAsia" w:cs="宋体"/>
          <w:sz w:val="21"/>
          <w:szCs w:val="21"/>
        </w:rPr>
        <w:t>（3）特殊表彰。特殊表彰包括两个方面：一方面是指学生在学习、生活中，做出的能为学校或学院赢得荣誉的特殊表现，如见义勇为、拾金不昧、助人为乐、维护正义等方面做出较大贡献且影响较大的行为；另一个方面是指学生在个人综合素质方面获得的特殊认定，如“大学生综合素质A级证书”。分限6分（此项加分须由学生提供相关证明材料后，由学院认定）。</w:t>
      </w:r>
    </w:p>
    <w:p>
      <w:pPr>
        <w:pStyle w:val="4"/>
        <w:spacing w:before="0" w:beforeAutospacing="0" w:after="0" w:afterAutospacing="0"/>
        <w:rPr>
          <w:rFonts w:ascii="华文中宋" w:hAnsi="华文中宋" w:eastAsia="华文中宋" w:cs="华文中宋"/>
          <w:b/>
          <w:bCs/>
        </w:rPr>
      </w:pPr>
      <w:r>
        <w:rPr>
          <w:rFonts w:hint="eastAsia" w:ascii="华文中宋" w:hAnsi="华文中宋" w:eastAsia="华文中宋" w:cs="华文中宋"/>
          <w:b/>
          <w:bCs/>
        </w:rPr>
        <w:t>3．人文素质模块（D</w:t>
      </w:r>
      <w:r>
        <w:rPr>
          <w:rFonts w:hint="eastAsia" w:ascii="华文中宋" w:hAnsi="华文中宋" w:eastAsia="华文中宋" w:cs="华文中宋"/>
          <w:b/>
          <w:bCs/>
          <w:vertAlign w:val="subscript"/>
        </w:rPr>
        <w:t>3</w:t>
      </w:r>
      <w:r>
        <w:rPr>
          <w:rFonts w:hint="eastAsia" w:ascii="华文中宋" w:hAnsi="华文中宋" w:eastAsia="华文中宋" w:cs="华文中宋"/>
          <w:b/>
          <w:bCs/>
        </w:rPr>
        <w:t>）</w:t>
      </w:r>
    </w:p>
    <w:p>
      <w:pPr>
        <w:pStyle w:val="4"/>
        <w:spacing w:before="0" w:beforeAutospacing="0" w:after="0" w:afterAutospacing="0"/>
        <w:ind w:firstLine="420" w:firstLineChars="200"/>
        <w:rPr>
          <w:rFonts w:cs="宋体"/>
          <w:sz w:val="21"/>
          <w:szCs w:val="21"/>
        </w:rPr>
      </w:pPr>
      <w:r>
        <w:rPr>
          <w:rFonts w:hint="eastAsia" w:cs="宋体"/>
          <w:sz w:val="21"/>
          <w:szCs w:val="21"/>
        </w:rPr>
        <w:t>（1）文体特长。</w:t>
      </w:r>
      <w:r>
        <w:rPr>
          <w:rFonts w:cs="宋体"/>
          <w:sz w:val="21"/>
          <w:szCs w:val="21"/>
        </w:rPr>
        <w:t>参加</w:t>
      </w:r>
      <w:r>
        <w:rPr>
          <w:rFonts w:hint="eastAsia" w:cs="宋体"/>
          <w:sz w:val="21"/>
          <w:szCs w:val="21"/>
        </w:rPr>
        <w:t>院</w:t>
      </w:r>
      <w:r>
        <w:rPr>
          <w:rFonts w:cs="宋体"/>
          <w:sz w:val="21"/>
          <w:szCs w:val="21"/>
        </w:rPr>
        <w:t>级（含）以上文</w:t>
      </w:r>
      <w:r>
        <w:rPr>
          <w:rFonts w:hint="eastAsia" w:cs="宋体"/>
          <w:sz w:val="21"/>
          <w:szCs w:val="21"/>
        </w:rPr>
        <w:t>化、体育、文</w:t>
      </w:r>
      <w:r>
        <w:rPr>
          <w:rFonts w:cs="宋体"/>
          <w:sz w:val="21"/>
          <w:szCs w:val="21"/>
        </w:rPr>
        <w:t>艺活动获</w:t>
      </w:r>
      <w:r>
        <w:rPr>
          <w:rFonts w:hint="eastAsia" w:cs="宋体"/>
          <w:sz w:val="21"/>
          <w:szCs w:val="21"/>
        </w:rPr>
        <w:t>得的</w:t>
      </w:r>
      <w:r>
        <w:rPr>
          <w:rFonts w:cs="宋体"/>
          <w:sz w:val="21"/>
          <w:szCs w:val="21"/>
        </w:rPr>
        <w:t>奖励或表彰</w:t>
      </w:r>
      <w:r>
        <w:rPr>
          <w:rFonts w:hint="eastAsia" w:cs="宋体"/>
          <w:sz w:val="21"/>
          <w:szCs w:val="21"/>
        </w:rPr>
        <w:t>，</w:t>
      </w:r>
      <w:r>
        <w:rPr>
          <w:rFonts w:cs="宋体"/>
          <w:sz w:val="21"/>
          <w:szCs w:val="21"/>
        </w:rPr>
        <w:t>一次活动中获多项奖励时，</w:t>
      </w:r>
      <w:r>
        <w:rPr>
          <w:rFonts w:hint="eastAsia" w:cs="宋体"/>
          <w:sz w:val="21"/>
          <w:szCs w:val="21"/>
        </w:rPr>
        <w:t>只计算最高分值。分限10分。</w:t>
      </w:r>
    </w:p>
    <w:p>
      <w:pPr>
        <w:pStyle w:val="4"/>
        <w:spacing w:before="0" w:beforeAutospacing="0" w:after="0" w:afterAutospacing="0"/>
        <w:ind w:firstLine="420" w:firstLineChars="200"/>
        <w:rPr>
          <w:rFonts w:cs="宋体"/>
          <w:sz w:val="21"/>
          <w:szCs w:val="21"/>
        </w:rPr>
      </w:pPr>
      <w:r>
        <w:rPr>
          <w:rFonts w:hint="eastAsia" w:cs="宋体"/>
          <w:sz w:val="21"/>
          <w:szCs w:val="21"/>
        </w:rPr>
        <w:t>（2）拓展技能。指外语</w:t>
      </w:r>
      <w:r>
        <w:rPr>
          <w:rFonts w:cs="宋体"/>
          <w:sz w:val="21"/>
          <w:szCs w:val="21"/>
        </w:rPr>
        <w:t>、计算机</w:t>
      </w:r>
      <w:r>
        <w:rPr>
          <w:rFonts w:hint="eastAsia" w:cs="宋体"/>
          <w:sz w:val="21"/>
          <w:szCs w:val="21"/>
        </w:rPr>
        <w:t>、电子信息、自动化等</w:t>
      </w:r>
      <w:r>
        <w:rPr>
          <w:rFonts w:cs="宋体"/>
          <w:sz w:val="21"/>
          <w:szCs w:val="21"/>
        </w:rPr>
        <w:t>方面的能力</w:t>
      </w:r>
      <w:r>
        <w:rPr>
          <w:rFonts w:hint="eastAsia" w:cs="宋体"/>
          <w:sz w:val="21"/>
          <w:szCs w:val="21"/>
        </w:rPr>
        <w:t>认证，分限10分。</w:t>
      </w:r>
    </w:p>
    <w:p>
      <w:pPr>
        <w:pStyle w:val="4"/>
        <w:spacing w:before="0" w:beforeAutospacing="0" w:after="0" w:afterAutospacing="0"/>
        <w:ind w:firstLine="420" w:firstLineChars="200"/>
        <w:rPr>
          <w:rFonts w:cs="宋体"/>
          <w:sz w:val="21"/>
          <w:szCs w:val="21"/>
        </w:rPr>
      </w:pPr>
      <w:r>
        <w:rPr>
          <w:rFonts w:hint="eastAsia" w:cs="宋体"/>
          <w:sz w:val="21"/>
          <w:szCs w:val="21"/>
        </w:rPr>
        <w:t>（3）第二课堂。</w:t>
      </w:r>
      <w:r>
        <w:rPr>
          <w:rFonts w:cs="宋体"/>
          <w:sz w:val="21"/>
          <w:szCs w:val="21"/>
        </w:rPr>
        <w:t>以获得的</w:t>
      </w:r>
      <w:r>
        <w:rPr>
          <w:rFonts w:hint="eastAsia" w:cs="宋体"/>
          <w:sz w:val="21"/>
          <w:szCs w:val="21"/>
        </w:rPr>
        <w:t>双学位和校公选课学分</w:t>
      </w:r>
      <w:r>
        <w:rPr>
          <w:rFonts w:cs="宋体"/>
          <w:sz w:val="21"/>
          <w:szCs w:val="21"/>
        </w:rPr>
        <w:t>为依据进行加分。</w:t>
      </w:r>
      <w:r>
        <w:rPr>
          <w:rFonts w:hint="eastAsia" w:cs="宋体"/>
          <w:sz w:val="21"/>
          <w:szCs w:val="21"/>
        </w:rPr>
        <w:t>参考学分不超过10分。</w:t>
      </w:r>
    </w:p>
    <w:p>
      <w:pPr>
        <w:pStyle w:val="4"/>
        <w:spacing w:before="0" w:beforeAutospacing="0" w:after="0" w:afterAutospacing="0"/>
        <w:rPr>
          <w:rFonts w:hint="eastAsia" w:ascii="华文中宋" w:hAnsi="华文中宋" w:eastAsia="华文中宋" w:cs="华文中宋"/>
          <w:b/>
          <w:bCs/>
        </w:rPr>
      </w:pPr>
      <w:r>
        <w:rPr>
          <w:rFonts w:hint="eastAsia" w:ascii="华文中宋" w:hAnsi="华文中宋" w:eastAsia="华文中宋" w:cs="华文中宋"/>
          <w:b/>
          <w:bCs/>
        </w:rPr>
        <w:t>4．加分标准</w:t>
      </w:r>
    </w:p>
    <w:p>
      <w:pPr>
        <w:pStyle w:val="4"/>
        <w:spacing w:before="0" w:beforeAutospacing="0" w:after="0" w:afterAutospacing="0"/>
        <w:rPr>
          <w:rFonts w:hint="eastAsia" w:ascii="华文中宋" w:hAnsi="华文中宋" w:eastAsia="华文中宋" w:cs="华文中宋"/>
          <w:b/>
          <w:bCs/>
          <w:lang w:val="en-US" w:eastAsia="zh-CN"/>
        </w:rPr>
      </w:pPr>
      <w:r>
        <w:rPr>
          <w:rFonts w:hint="eastAsia" w:ascii="华文中宋" w:hAnsi="华文中宋" w:eastAsia="华文中宋" w:cs="华文中宋"/>
          <w:b/>
          <w:bCs/>
          <w:lang w:eastAsia="zh-CN"/>
        </w:rPr>
        <w:t>表</w:t>
      </w:r>
      <w:r>
        <w:rPr>
          <w:rFonts w:hint="eastAsia" w:ascii="华文中宋" w:hAnsi="华文中宋" w:eastAsia="华文中宋" w:cs="华文中宋"/>
          <w:b/>
          <w:bCs/>
          <w:lang w:val="en-US" w:eastAsia="zh-CN"/>
        </w:rPr>
        <w:t>2</w:t>
      </w:r>
    </w:p>
    <w:tbl>
      <w:tblPr>
        <w:tblStyle w:val="6"/>
        <w:tblW w:w="91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10"/>
        <w:gridCol w:w="885"/>
        <w:gridCol w:w="693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Align w:val="center"/>
          </w:tcPr>
          <w:p>
            <w:pPr>
              <w:autoSpaceDN w:val="0"/>
              <w:jc w:val="center"/>
              <w:textAlignment w:val="center"/>
              <w:rPr>
                <w:rFonts w:ascii="宋体" w:hAnsi="宋体"/>
                <w:color w:val="000000"/>
                <w:sz w:val="20"/>
              </w:rPr>
            </w:pPr>
            <w:r>
              <w:rPr>
                <w:rFonts w:hint="eastAsia" w:ascii="宋体" w:hAnsi="宋体"/>
                <w:color w:val="000000"/>
                <w:sz w:val="20"/>
              </w:rPr>
              <w:t>项目</w:t>
            </w:r>
          </w:p>
        </w:tc>
        <w:tc>
          <w:tcPr>
            <w:tcW w:w="885" w:type="dxa"/>
            <w:vAlign w:val="center"/>
          </w:tcPr>
          <w:p>
            <w:pPr>
              <w:autoSpaceDN w:val="0"/>
              <w:jc w:val="center"/>
              <w:textAlignment w:val="center"/>
              <w:rPr>
                <w:rFonts w:ascii="宋体" w:hAnsi="宋体"/>
                <w:color w:val="000000"/>
                <w:sz w:val="20"/>
              </w:rPr>
            </w:pPr>
            <w:r>
              <w:rPr>
                <w:rFonts w:hint="eastAsia" w:ascii="宋体" w:hAnsi="宋体"/>
                <w:color w:val="000000"/>
                <w:sz w:val="20"/>
              </w:rPr>
              <w:t>二级指标</w:t>
            </w:r>
          </w:p>
        </w:tc>
        <w:tc>
          <w:tcPr>
            <w:tcW w:w="6932" w:type="dxa"/>
            <w:vAlign w:val="center"/>
          </w:tcPr>
          <w:p>
            <w:pPr>
              <w:autoSpaceDN w:val="0"/>
              <w:jc w:val="center"/>
              <w:textAlignment w:val="center"/>
              <w:rPr>
                <w:rFonts w:ascii="宋体" w:hAnsi="宋体"/>
                <w:color w:val="000000"/>
                <w:sz w:val="20"/>
              </w:rPr>
            </w:pPr>
            <w:r>
              <w:rPr>
                <w:rFonts w:hint="eastAsia" w:ascii="宋体" w:hAnsi="宋体"/>
                <w:color w:val="000000"/>
                <w:sz w:val="20"/>
              </w:rPr>
              <w:t>内容</w:t>
            </w:r>
          </w:p>
        </w:tc>
        <w:tc>
          <w:tcPr>
            <w:tcW w:w="795" w:type="dxa"/>
            <w:vAlign w:val="center"/>
          </w:tcPr>
          <w:p>
            <w:pPr>
              <w:autoSpaceDN w:val="0"/>
              <w:jc w:val="center"/>
              <w:textAlignment w:val="center"/>
              <w:rPr>
                <w:rFonts w:ascii="宋体" w:hAnsi="宋体"/>
                <w:color w:val="000000"/>
                <w:sz w:val="20"/>
              </w:rPr>
            </w:pPr>
            <w:r>
              <w:rPr>
                <w:rFonts w:hint="eastAsia" w:ascii="宋体" w:hAnsi="宋体"/>
                <w:color w:val="000000"/>
                <w:sz w:val="20"/>
              </w:rPr>
              <w:t>分限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Merge w:val="restart"/>
            <w:vAlign w:val="center"/>
          </w:tcPr>
          <w:p>
            <w:pPr>
              <w:autoSpaceDN w:val="0"/>
              <w:jc w:val="center"/>
              <w:textAlignment w:val="center"/>
              <w:rPr>
                <w:rFonts w:ascii="宋体" w:hAnsi="宋体"/>
                <w:color w:val="000000"/>
                <w:sz w:val="20"/>
              </w:rPr>
            </w:pPr>
            <w:r>
              <w:rPr>
                <w:rFonts w:ascii="宋体" w:hAnsi="宋体"/>
                <w:color w:val="000000"/>
                <w:sz w:val="20"/>
              </w:rPr>
              <w:t>创新</w:t>
            </w:r>
            <w:r>
              <w:rPr>
                <w:rFonts w:ascii="宋体" w:hAnsi="宋体"/>
                <w:color w:val="000000"/>
                <w:sz w:val="20"/>
              </w:rPr>
              <w:br w:type="textWrapping"/>
            </w:r>
            <w:r>
              <w:rPr>
                <w:rFonts w:ascii="宋体" w:hAnsi="宋体"/>
                <w:color w:val="000000"/>
                <w:sz w:val="20"/>
              </w:rPr>
              <w:t>能力</w:t>
            </w:r>
            <w:r>
              <w:rPr>
                <w:rFonts w:ascii="宋体" w:hAnsi="宋体"/>
                <w:color w:val="000000"/>
                <w:sz w:val="20"/>
              </w:rPr>
              <w:br w:type="textWrapping"/>
            </w:r>
            <w:r>
              <w:rPr>
                <w:rFonts w:ascii="宋体" w:hAnsi="宋体"/>
                <w:color w:val="000000"/>
                <w:sz w:val="20"/>
              </w:rPr>
              <w:t>D1</w:t>
            </w: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科技竞赛</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国家级:一等奖9分,二等奖6分,三等奖4.5分,其他3分；省部级：一等奖6分，二等奖4.5分，三等奖3分，其他2分；市校级一等奖4.5分，二等奖3分，三等奖2分，其他1分；院级：一等奖3分，二等奖2分，三等奖1分。同一成果只计最高分。</w:t>
            </w:r>
          </w:p>
        </w:tc>
        <w:tc>
          <w:tcPr>
            <w:tcW w:w="795" w:type="dxa"/>
            <w:vAlign w:val="center"/>
          </w:tcPr>
          <w:p>
            <w:pPr>
              <w:autoSpaceDN w:val="0"/>
              <w:jc w:val="left"/>
              <w:textAlignment w:val="center"/>
              <w:rPr>
                <w:rFonts w:ascii="宋体" w:hAnsi="宋体"/>
                <w:color w:val="000000"/>
                <w:sz w:val="20"/>
              </w:rPr>
            </w:pPr>
            <w:r>
              <w:rPr>
                <w:rFonts w:ascii="宋体" w:hAnsi="宋体"/>
                <w:color w:val="000000"/>
                <w:sz w:val="20"/>
              </w:rPr>
              <w:t>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Merge w:val="continue"/>
            <w:vAlign w:val="center"/>
          </w:tcPr>
          <w:p>
            <w:pPr>
              <w:rPr>
                <w:rFonts w:ascii="宋体" w:hAnsi="宋体"/>
                <w:sz w:val="24"/>
              </w:rPr>
            </w:pP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科技论文</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在北大核心、国外期刊发表或被SCI、EI、ISTP收录：一作者9分，二作者4.5分，三作者及以后3分；在普通期刊或论文集上发表：一作者6分，二作者3分，三作者及以后1分；在学校或学院报刊上发表：一作者3分；二作者及以后1分。</w:t>
            </w:r>
          </w:p>
        </w:tc>
        <w:tc>
          <w:tcPr>
            <w:tcW w:w="795" w:type="dxa"/>
            <w:vAlign w:val="center"/>
          </w:tcPr>
          <w:p>
            <w:pPr>
              <w:autoSpaceDN w:val="0"/>
              <w:jc w:val="left"/>
              <w:textAlignment w:val="center"/>
              <w:rPr>
                <w:rFonts w:ascii="宋体" w:hAnsi="宋体"/>
                <w:color w:val="000000"/>
                <w:sz w:val="20"/>
              </w:rPr>
            </w:pPr>
            <w:r>
              <w:rPr>
                <w:rFonts w:ascii="宋体" w:hAnsi="宋体"/>
                <w:color w:val="000000"/>
                <w:sz w:val="20"/>
              </w:rPr>
              <w:t>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Merge w:val="continue"/>
            <w:vAlign w:val="center"/>
          </w:tcPr>
          <w:p>
            <w:pPr>
              <w:rPr>
                <w:rFonts w:ascii="宋体" w:hAnsi="宋体"/>
                <w:sz w:val="24"/>
              </w:rPr>
            </w:pP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科技活动</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国家级课题：负责人6分，第1～2主研3分，第3主研及以后2分；省部级：负责人4分，第1～2主研2分，第3主研以后1分；校市级：负责人3分，第2～3主研2分，第3主研以后1分。院级：负责人2分，第1主研及以后1分。</w:t>
            </w:r>
            <w:r>
              <w:rPr>
                <w:rFonts w:hint="eastAsia" w:ascii="宋体" w:hAnsi="宋体"/>
                <w:color w:val="000000"/>
                <w:sz w:val="20"/>
              </w:rPr>
              <w:t>参与学院及以上组织组织开展的学科、专业或科技活动0.5分。</w:t>
            </w:r>
          </w:p>
        </w:tc>
        <w:tc>
          <w:tcPr>
            <w:tcW w:w="795" w:type="dxa"/>
            <w:vAlign w:val="center"/>
          </w:tcPr>
          <w:p>
            <w:pPr>
              <w:autoSpaceDN w:val="0"/>
              <w:jc w:val="left"/>
              <w:textAlignment w:val="center"/>
              <w:rPr>
                <w:rFonts w:ascii="宋体" w:hAnsi="宋体"/>
                <w:color w:val="000000"/>
                <w:sz w:val="20"/>
              </w:rPr>
            </w:pPr>
            <w:r>
              <w:rPr>
                <w:rFonts w:ascii="宋体" w:hAnsi="宋体"/>
                <w:color w:val="000000"/>
                <w:sz w:val="20"/>
              </w:rPr>
              <w:t>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20" w:hRule="atLeast"/>
        </w:trPr>
        <w:tc>
          <w:tcPr>
            <w:tcW w:w="510" w:type="dxa"/>
            <w:vMerge w:val="restart"/>
            <w:vAlign w:val="center"/>
          </w:tcPr>
          <w:p>
            <w:pPr>
              <w:autoSpaceDN w:val="0"/>
              <w:jc w:val="center"/>
              <w:textAlignment w:val="center"/>
              <w:rPr>
                <w:rFonts w:ascii="宋体" w:hAnsi="宋体"/>
                <w:color w:val="000000"/>
                <w:sz w:val="20"/>
              </w:rPr>
            </w:pPr>
            <w:r>
              <w:rPr>
                <w:rFonts w:ascii="宋体" w:hAnsi="宋体"/>
                <w:color w:val="000000"/>
                <w:sz w:val="20"/>
              </w:rPr>
              <w:t>实践</w:t>
            </w:r>
            <w:r>
              <w:rPr>
                <w:rFonts w:ascii="宋体" w:hAnsi="宋体"/>
                <w:color w:val="000000"/>
                <w:sz w:val="20"/>
              </w:rPr>
              <w:br w:type="textWrapping"/>
            </w:r>
            <w:r>
              <w:rPr>
                <w:rFonts w:ascii="宋体" w:hAnsi="宋体"/>
                <w:color w:val="000000"/>
                <w:sz w:val="20"/>
              </w:rPr>
              <w:t>能力</w:t>
            </w:r>
            <w:r>
              <w:rPr>
                <w:rFonts w:ascii="宋体" w:hAnsi="宋体"/>
                <w:color w:val="000000"/>
                <w:sz w:val="20"/>
              </w:rPr>
              <w:br w:type="textWrapping"/>
            </w:r>
            <w:r>
              <w:rPr>
                <w:rFonts w:ascii="宋体" w:hAnsi="宋体"/>
                <w:color w:val="000000"/>
                <w:sz w:val="20"/>
              </w:rPr>
              <w:t>D2</w:t>
            </w: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组织管理</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担任学生干部且</w:t>
            </w:r>
            <w:r>
              <w:rPr>
                <w:rFonts w:hint="eastAsia" w:ascii="宋体" w:hAnsi="宋体"/>
                <w:bCs/>
                <w:sz w:val="18"/>
                <w:szCs w:val="18"/>
              </w:rPr>
              <w:t>(</w:t>
            </w:r>
            <w:r>
              <w:rPr>
                <w:rFonts w:ascii="宋体" w:hAnsi="宋体"/>
                <w:color w:val="000000"/>
                <w:sz w:val="20"/>
              </w:rPr>
              <w:t>考核优秀：国家级9分，省部级6分，校市级4.5分，院级3分；考核为称职：国家级7分，省部级5分，校市级3分；院级2分；考核为不合格0分</w:t>
            </w:r>
            <w:r>
              <w:rPr>
                <w:rFonts w:hint="eastAsia" w:ascii="宋体" w:hAnsi="宋体"/>
                <w:bCs/>
                <w:sz w:val="18"/>
                <w:szCs w:val="18"/>
              </w:rPr>
              <w:t>)</w:t>
            </w:r>
            <w:r>
              <w:rPr>
                <w:rFonts w:ascii="宋体" w:hAnsi="宋体"/>
                <w:color w:val="000000"/>
                <w:sz w:val="20"/>
              </w:rPr>
              <w:t>。所在组织获得表彰</w:t>
            </w:r>
            <w:r>
              <w:rPr>
                <w:rFonts w:hint="eastAsia" w:ascii="宋体" w:hAnsi="宋体"/>
                <w:bCs/>
                <w:sz w:val="18"/>
                <w:szCs w:val="18"/>
              </w:rPr>
              <w:t>(</w:t>
            </w:r>
            <w:r>
              <w:rPr>
                <w:rFonts w:ascii="宋体" w:hAnsi="宋体"/>
                <w:color w:val="000000"/>
                <w:sz w:val="20"/>
              </w:rPr>
              <w:t>国家级：负责人6分，成员3分；省级：负责人4分，成员2分；校市级：负责人3分，成员1.5分；院级：负责人2分，成员1分</w:t>
            </w:r>
            <w:r>
              <w:rPr>
                <w:rFonts w:hint="eastAsia" w:ascii="宋体" w:hAnsi="宋体"/>
                <w:bCs/>
                <w:sz w:val="18"/>
                <w:szCs w:val="18"/>
              </w:rPr>
              <w:t>)</w:t>
            </w:r>
            <w:r>
              <w:rPr>
                <w:rFonts w:ascii="宋体" w:hAnsi="宋体"/>
                <w:color w:val="000000"/>
                <w:sz w:val="20"/>
              </w:rPr>
              <w:t>。</w:t>
            </w:r>
          </w:p>
        </w:tc>
        <w:tc>
          <w:tcPr>
            <w:tcW w:w="795" w:type="dxa"/>
            <w:vAlign w:val="center"/>
          </w:tcPr>
          <w:p>
            <w:pPr>
              <w:autoSpaceDN w:val="0"/>
              <w:jc w:val="center"/>
              <w:textAlignment w:val="center"/>
              <w:rPr>
                <w:rFonts w:ascii="宋体" w:hAnsi="宋体"/>
                <w:color w:val="000000"/>
                <w:sz w:val="20"/>
              </w:rPr>
            </w:pPr>
            <w:r>
              <w:rPr>
                <w:rFonts w:ascii="宋体" w:hAnsi="宋体"/>
                <w:color w:val="000000"/>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Merge w:val="continue"/>
            <w:vAlign w:val="center"/>
          </w:tcPr>
          <w:p>
            <w:pPr>
              <w:rPr>
                <w:rFonts w:ascii="宋体" w:hAnsi="宋体"/>
                <w:sz w:val="24"/>
              </w:rPr>
            </w:pP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社会活动</w:t>
            </w:r>
          </w:p>
          <w:p>
            <w:pPr>
              <w:autoSpaceDN w:val="0"/>
              <w:jc w:val="left"/>
              <w:textAlignment w:val="center"/>
              <w:rPr>
                <w:rFonts w:ascii="宋体" w:hAnsi="宋体"/>
                <w:color w:val="000000"/>
                <w:sz w:val="20"/>
              </w:rPr>
            </w:pPr>
            <w:r>
              <w:rPr>
                <w:rFonts w:hint="eastAsia" w:ascii="宋体" w:hAnsi="宋体"/>
                <w:color w:val="000000"/>
                <w:sz w:val="20"/>
              </w:rPr>
              <w:t>（每次）</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策划、组织并参与</w:t>
            </w:r>
            <w:r>
              <w:rPr>
                <w:rFonts w:hint="eastAsia" w:ascii="宋体" w:hAnsi="宋体"/>
                <w:color w:val="000000"/>
                <w:sz w:val="20"/>
              </w:rPr>
              <w:t>:</w:t>
            </w:r>
            <w:r>
              <w:rPr>
                <w:rFonts w:ascii="宋体" w:hAnsi="宋体"/>
                <w:color w:val="000000"/>
                <w:sz w:val="20"/>
              </w:rPr>
              <w:t>校级以上7分，校级5分，院级4分；班级3分</w:t>
            </w:r>
            <w:r>
              <w:rPr>
                <w:rFonts w:hint="eastAsia" w:ascii="宋体" w:hAnsi="宋体"/>
                <w:color w:val="000000"/>
                <w:sz w:val="20"/>
              </w:rPr>
              <w:t>。</w:t>
            </w:r>
            <w:r>
              <w:rPr>
                <w:rFonts w:ascii="宋体" w:hAnsi="宋体"/>
                <w:color w:val="000000"/>
                <w:sz w:val="20"/>
              </w:rPr>
              <w:t>组织并参与</w:t>
            </w:r>
            <w:r>
              <w:rPr>
                <w:rFonts w:hint="eastAsia" w:ascii="宋体" w:hAnsi="宋体"/>
                <w:color w:val="000000"/>
                <w:sz w:val="20"/>
              </w:rPr>
              <w:t>:</w:t>
            </w:r>
            <w:r>
              <w:rPr>
                <w:rFonts w:ascii="宋体" w:hAnsi="宋体"/>
                <w:color w:val="000000"/>
                <w:sz w:val="20"/>
              </w:rPr>
              <w:t>校级以上5分，校级4分，院级3分，班级2分</w:t>
            </w:r>
            <w:r>
              <w:rPr>
                <w:rFonts w:hint="eastAsia" w:ascii="宋体" w:hAnsi="宋体"/>
                <w:color w:val="000000"/>
                <w:sz w:val="20"/>
              </w:rPr>
              <w:t>。</w:t>
            </w:r>
            <w:r>
              <w:rPr>
                <w:rFonts w:ascii="宋体" w:hAnsi="宋体"/>
                <w:color w:val="000000"/>
                <w:sz w:val="20"/>
              </w:rPr>
              <w:t>认真参与：校级以上3分，校院级2分；班级1分。</w:t>
            </w:r>
          </w:p>
        </w:tc>
        <w:tc>
          <w:tcPr>
            <w:tcW w:w="795" w:type="dxa"/>
            <w:vAlign w:val="center"/>
          </w:tcPr>
          <w:p>
            <w:pPr>
              <w:autoSpaceDN w:val="0"/>
              <w:jc w:val="center"/>
              <w:textAlignment w:val="center"/>
              <w:rPr>
                <w:rFonts w:ascii="宋体" w:hAnsi="宋体"/>
                <w:color w:val="000000"/>
                <w:sz w:val="20"/>
              </w:rPr>
            </w:pPr>
            <w:r>
              <w:rPr>
                <w:rFonts w:ascii="宋体" w:hAnsi="宋体"/>
                <w:color w:val="000000"/>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10" w:type="dxa"/>
            <w:vMerge w:val="continue"/>
            <w:vAlign w:val="center"/>
          </w:tcPr>
          <w:p>
            <w:pPr>
              <w:rPr>
                <w:rFonts w:ascii="宋体" w:hAnsi="宋体"/>
                <w:sz w:val="24"/>
              </w:rPr>
            </w:pP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特殊表彰</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国家级6分，省级4分，校市级2分；其他1分。</w:t>
            </w:r>
          </w:p>
        </w:tc>
        <w:tc>
          <w:tcPr>
            <w:tcW w:w="795" w:type="dxa"/>
            <w:vAlign w:val="center"/>
          </w:tcPr>
          <w:p>
            <w:pPr>
              <w:autoSpaceDN w:val="0"/>
              <w:jc w:val="center"/>
              <w:textAlignment w:val="center"/>
              <w:rPr>
                <w:rFonts w:ascii="宋体" w:hAnsi="宋体"/>
                <w:color w:val="000000"/>
                <w:sz w:val="20"/>
              </w:rPr>
            </w:pPr>
            <w:r>
              <w:rPr>
                <w:rFonts w:ascii="宋体" w:hAnsi="宋体"/>
                <w:color w:val="000000"/>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480" w:hRule="atLeast"/>
        </w:trPr>
        <w:tc>
          <w:tcPr>
            <w:tcW w:w="510" w:type="dxa"/>
            <w:vMerge w:val="restart"/>
            <w:vAlign w:val="center"/>
          </w:tcPr>
          <w:p>
            <w:pPr>
              <w:autoSpaceDN w:val="0"/>
              <w:jc w:val="center"/>
              <w:textAlignment w:val="center"/>
              <w:rPr>
                <w:rFonts w:ascii="宋体" w:hAnsi="宋体"/>
                <w:color w:val="000000"/>
                <w:sz w:val="20"/>
              </w:rPr>
            </w:pPr>
            <w:r>
              <w:rPr>
                <w:rFonts w:ascii="宋体" w:hAnsi="宋体"/>
                <w:color w:val="000000"/>
                <w:sz w:val="20"/>
              </w:rPr>
              <w:t>人文</w:t>
            </w:r>
            <w:r>
              <w:rPr>
                <w:rFonts w:ascii="宋体" w:hAnsi="宋体"/>
                <w:color w:val="000000"/>
                <w:sz w:val="20"/>
              </w:rPr>
              <w:br w:type="textWrapping"/>
            </w:r>
            <w:r>
              <w:rPr>
                <w:rFonts w:ascii="宋体" w:hAnsi="宋体"/>
                <w:color w:val="000000"/>
                <w:sz w:val="20"/>
              </w:rPr>
              <w:t>素质</w:t>
            </w:r>
            <w:r>
              <w:rPr>
                <w:rFonts w:ascii="宋体" w:hAnsi="宋体"/>
                <w:color w:val="000000"/>
                <w:sz w:val="20"/>
              </w:rPr>
              <w:br w:type="textWrapping"/>
            </w:r>
            <w:r>
              <w:rPr>
                <w:rFonts w:ascii="宋体" w:hAnsi="宋体"/>
                <w:color w:val="000000"/>
                <w:sz w:val="20"/>
              </w:rPr>
              <w:t>D3</w:t>
            </w: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文体特长</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国家级(一等奖9分，二等奖6分，三等奖4.5分，其他3分)；省部级(一等奖6分，二等奖4.5分，三等奖3分，其他2分)；市校级(一等奖5分，二等奖3分；三等奖2分；其他1.5分)；院级(一等奖3分；二等奖2分；三等奖1.5分，其他1分)</w:t>
            </w:r>
          </w:p>
        </w:tc>
        <w:tc>
          <w:tcPr>
            <w:tcW w:w="795" w:type="dxa"/>
            <w:vAlign w:val="center"/>
          </w:tcPr>
          <w:p>
            <w:pPr>
              <w:autoSpaceDN w:val="0"/>
              <w:jc w:val="center"/>
              <w:textAlignment w:val="center"/>
              <w:rPr>
                <w:rFonts w:ascii="宋体" w:hAnsi="宋体"/>
                <w:color w:val="000000"/>
                <w:sz w:val="20"/>
              </w:rPr>
            </w:pPr>
            <w:r>
              <w:rPr>
                <w:rFonts w:ascii="宋体" w:hAnsi="宋体"/>
                <w:color w:val="00000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558" w:hRule="atLeast"/>
        </w:trPr>
        <w:tc>
          <w:tcPr>
            <w:tcW w:w="510" w:type="dxa"/>
            <w:vMerge w:val="continue"/>
            <w:vAlign w:val="center"/>
          </w:tcPr>
          <w:p>
            <w:pPr>
              <w:rPr>
                <w:rFonts w:ascii="宋体" w:hAnsi="宋体"/>
                <w:sz w:val="24"/>
              </w:rPr>
            </w:pPr>
          </w:p>
        </w:tc>
        <w:tc>
          <w:tcPr>
            <w:tcW w:w="885" w:type="dxa"/>
            <w:vAlign w:val="center"/>
          </w:tcPr>
          <w:p>
            <w:pPr>
              <w:autoSpaceDN w:val="0"/>
              <w:jc w:val="left"/>
              <w:textAlignment w:val="center"/>
              <w:rPr>
                <w:rFonts w:ascii="宋体" w:hAnsi="宋体"/>
                <w:color w:val="000000"/>
                <w:sz w:val="20"/>
              </w:rPr>
            </w:pPr>
            <w:r>
              <w:rPr>
                <w:rFonts w:ascii="宋体" w:hAnsi="宋体"/>
                <w:color w:val="000000"/>
                <w:sz w:val="20"/>
              </w:rPr>
              <w:t>拓展技能</w:t>
            </w:r>
          </w:p>
        </w:tc>
        <w:tc>
          <w:tcPr>
            <w:tcW w:w="6932" w:type="dxa"/>
            <w:vAlign w:val="center"/>
          </w:tcPr>
          <w:p>
            <w:pPr>
              <w:autoSpaceDN w:val="0"/>
              <w:spacing w:line="280" w:lineRule="exact"/>
              <w:jc w:val="left"/>
              <w:textAlignment w:val="center"/>
              <w:rPr>
                <w:rFonts w:ascii="宋体" w:hAnsi="宋体"/>
                <w:color w:val="000000"/>
                <w:sz w:val="20"/>
              </w:rPr>
            </w:pPr>
            <w:r>
              <w:rPr>
                <w:rFonts w:ascii="宋体" w:hAnsi="宋体"/>
                <w:color w:val="000000"/>
                <w:sz w:val="20"/>
              </w:rPr>
              <w:t>外语</w:t>
            </w:r>
            <w:r>
              <w:rPr>
                <w:rFonts w:hint="eastAsia" w:ascii="宋体" w:hAnsi="宋体"/>
                <w:color w:val="000000"/>
                <w:sz w:val="20"/>
              </w:rPr>
              <w:t>能力</w:t>
            </w:r>
            <w:r>
              <w:rPr>
                <w:rFonts w:ascii="宋体" w:hAnsi="宋体"/>
                <w:color w:val="000000"/>
                <w:sz w:val="20"/>
              </w:rPr>
              <w:t>：四级（第1学期通过分数大于等于5</w:t>
            </w:r>
            <w:r>
              <w:rPr>
                <w:rFonts w:hint="eastAsia" w:ascii="宋体" w:hAnsi="宋体"/>
                <w:color w:val="000000"/>
                <w:sz w:val="20"/>
              </w:rPr>
              <w:t>2</w:t>
            </w:r>
            <w:r>
              <w:rPr>
                <w:rFonts w:ascii="宋体" w:hAnsi="宋体"/>
                <w:color w:val="000000"/>
                <w:sz w:val="20"/>
              </w:rPr>
              <w:t>0分6分，其他4.5分；第2学期通过分数大于等于5</w:t>
            </w:r>
            <w:r>
              <w:rPr>
                <w:rFonts w:hint="eastAsia" w:ascii="宋体" w:hAnsi="宋体"/>
                <w:color w:val="000000"/>
                <w:sz w:val="20"/>
              </w:rPr>
              <w:t>2</w:t>
            </w:r>
            <w:r>
              <w:rPr>
                <w:rFonts w:ascii="宋体" w:hAnsi="宋体"/>
                <w:color w:val="000000"/>
                <w:sz w:val="20"/>
              </w:rPr>
              <w:t>0分4.5分，其他3分；第3学期及以后分数大于等于5</w:t>
            </w:r>
            <w:r>
              <w:rPr>
                <w:rFonts w:hint="eastAsia" w:ascii="宋体" w:hAnsi="宋体"/>
                <w:color w:val="000000"/>
                <w:sz w:val="20"/>
              </w:rPr>
              <w:t>2</w:t>
            </w:r>
            <w:r>
              <w:rPr>
                <w:rFonts w:ascii="宋体" w:hAnsi="宋体"/>
                <w:color w:val="000000"/>
                <w:sz w:val="20"/>
              </w:rPr>
              <w:t>0分3分，其他1.5分）。六级（第2学期通过分数大于等于5</w:t>
            </w:r>
            <w:r>
              <w:rPr>
                <w:rFonts w:hint="eastAsia" w:ascii="宋体" w:hAnsi="宋体"/>
                <w:color w:val="000000"/>
                <w:sz w:val="20"/>
              </w:rPr>
              <w:t>2</w:t>
            </w:r>
            <w:r>
              <w:rPr>
                <w:rFonts w:ascii="宋体" w:hAnsi="宋体"/>
                <w:color w:val="000000"/>
                <w:sz w:val="20"/>
              </w:rPr>
              <w:t>0分7分，其他5分；第3、4学期通过分数大于等于5</w:t>
            </w:r>
            <w:r>
              <w:rPr>
                <w:rFonts w:hint="eastAsia" w:ascii="宋体" w:hAnsi="宋体"/>
                <w:color w:val="000000"/>
                <w:sz w:val="20"/>
              </w:rPr>
              <w:t>2</w:t>
            </w:r>
            <w:r>
              <w:rPr>
                <w:rFonts w:ascii="宋体" w:hAnsi="宋体"/>
                <w:color w:val="000000"/>
                <w:sz w:val="20"/>
              </w:rPr>
              <w:t>0分5分，其他4分；第5、6学期通过分数大于等于5</w:t>
            </w:r>
            <w:r>
              <w:rPr>
                <w:rFonts w:hint="eastAsia" w:ascii="宋体" w:hAnsi="宋体"/>
                <w:color w:val="000000"/>
                <w:sz w:val="20"/>
              </w:rPr>
              <w:t>2</w:t>
            </w:r>
            <w:r>
              <w:rPr>
                <w:rFonts w:ascii="宋体" w:hAnsi="宋体"/>
                <w:color w:val="000000"/>
                <w:sz w:val="20"/>
              </w:rPr>
              <w:t>0分4分，其他3分）。计算机</w:t>
            </w:r>
            <w:r>
              <w:rPr>
                <w:rFonts w:hint="eastAsia" w:ascii="宋体" w:hAnsi="宋体"/>
                <w:color w:val="000000"/>
                <w:sz w:val="20"/>
              </w:rPr>
              <w:t>能力</w:t>
            </w:r>
            <w:r>
              <w:rPr>
                <w:rFonts w:ascii="宋体" w:hAnsi="宋体"/>
                <w:color w:val="000000"/>
                <w:sz w:val="20"/>
              </w:rPr>
              <w:t>：第3学期以前通过（四级：优秀8分，合格6分；三级：优秀5分；合格4分；二级：优秀4.5分，合格2分；其他1分）；第3学期及以后通过（四级：优秀6分，合格5分；三级：优秀4.5分，合格3分；二级：优秀3分，合格1.5分；其他1分）。</w:t>
            </w:r>
            <w:r>
              <w:rPr>
                <w:rFonts w:hint="eastAsia" w:ascii="宋体" w:hAnsi="宋体"/>
                <w:color w:val="000000"/>
                <w:sz w:val="20"/>
              </w:rPr>
              <w:t>专业能力：</w:t>
            </w:r>
            <w:r>
              <w:rPr>
                <w:rFonts w:ascii="宋体" w:hAnsi="宋体"/>
                <w:color w:val="000000"/>
                <w:sz w:val="20"/>
              </w:rPr>
              <w:t>高级6分；中级4分；初级3分；其他2分</w:t>
            </w:r>
            <w:r>
              <w:rPr>
                <w:rFonts w:hint="eastAsia" w:ascii="宋体" w:hAnsi="宋体"/>
                <w:color w:val="000000"/>
                <w:sz w:val="20"/>
              </w:rPr>
              <w:t>。</w:t>
            </w:r>
          </w:p>
        </w:tc>
        <w:tc>
          <w:tcPr>
            <w:tcW w:w="795" w:type="dxa"/>
            <w:vAlign w:val="center"/>
          </w:tcPr>
          <w:p>
            <w:pPr>
              <w:autoSpaceDN w:val="0"/>
              <w:jc w:val="center"/>
              <w:textAlignment w:val="center"/>
              <w:rPr>
                <w:rFonts w:ascii="宋体" w:hAnsi="宋体"/>
                <w:color w:val="000000"/>
                <w:sz w:val="20"/>
              </w:rPr>
            </w:pPr>
            <w:r>
              <w:rPr>
                <w:rFonts w:ascii="宋体" w:hAnsi="宋体"/>
                <w:color w:val="00000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0" w:hRule="atLeast"/>
        </w:trPr>
        <w:tc>
          <w:tcPr>
            <w:tcW w:w="510" w:type="dxa"/>
            <w:vMerge w:val="continue"/>
            <w:vAlign w:val="center"/>
          </w:tcPr>
          <w:p>
            <w:pPr>
              <w:rPr>
                <w:rFonts w:ascii="宋体" w:hAnsi="宋体"/>
                <w:sz w:val="24"/>
              </w:rPr>
            </w:pPr>
          </w:p>
        </w:tc>
        <w:tc>
          <w:tcPr>
            <w:tcW w:w="8612" w:type="dxa"/>
            <w:gridSpan w:val="3"/>
            <w:vAlign w:val="center"/>
          </w:tcPr>
          <w:p>
            <w:pPr>
              <w:autoSpaceDN w:val="0"/>
              <w:jc w:val="both"/>
              <w:textAlignment w:val="center"/>
              <w:rPr>
                <w:rFonts w:ascii="宋体" w:hAnsi="宋体"/>
                <w:color w:val="000000"/>
                <w:sz w:val="20"/>
              </w:rPr>
            </w:pPr>
            <w:bookmarkStart w:id="0" w:name="_GoBack"/>
            <w:bookmarkEnd w:id="0"/>
          </w:p>
        </w:tc>
      </w:tr>
    </w:tbl>
    <w:p>
      <w:pPr>
        <w:pStyle w:val="4"/>
        <w:spacing w:before="0" w:beforeAutospacing="0" w:after="0" w:afterAutospacing="0"/>
        <w:ind w:firstLine="420" w:firstLineChars="200"/>
        <w:rPr>
          <w:rFonts w:cs="宋体"/>
          <w:sz w:val="21"/>
          <w:szCs w:val="21"/>
        </w:rPr>
      </w:pPr>
      <w:r>
        <w:rPr>
          <w:rFonts w:hint="eastAsia" w:cs="宋体"/>
          <w:sz w:val="21"/>
          <w:szCs w:val="21"/>
        </w:rPr>
        <w:t>各素质模块得分＝∑（加分×权重）</w:t>
      </w:r>
    </w:p>
    <w:p>
      <w:pPr>
        <w:pStyle w:val="4"/>
        <w:spacing w:before="0" w:beforeAutospacing="0" w:after="0" w:afterAutospacing="0"/>
        <w:rPr>
          <w:rFonts w:hint="eastAsia" w:cs="宋体"/>
          <w:sz w:val="21"/>
          <w:szCs w:val="21"/>
        </w:rPr>
      </w:pPr>
      <w:r>
        <w:rPr>
          <w:rFonts w:hint="eastAsia" w:cs="宋体"/>
          <w:sz w:val="21"/>
          <w:szCs w:val="21"/>
        </w:rPr>
        <w:t>注：</w:t>
      </w:r>
    </w:p>
    <w:p>
      <w:pPr>
        <w:pStyle w:val="4"/>
        <w:spacing w:before="0" w:beforeAutospacing="0" w:after="0" w:afterAutospacing="0"/>
        <w:ind w:firstLine="420" w:firstLineChars="200"/>
        <w:rPr>
          <w:rFonts w:cs="宋体"/>
          <w:sz w:val="21"/>
          <w:szCs w:val="21"/>
        </w:rPr>
      </w:pPr>
      <w:r>
        <w:rPr>
          <w:rFonts w:hint="eastAsia" w:cs="宋体"/>
          <w:sz w:val="21"/>
          <w:szCs w:val="21"/>
        </w:rPr>
        <w:t>1．认证加分只记入当年综合测评成绩，以后不再加分。</w:t>
      </w:r>
    </w:p>
    <w:p>
      <w:pPr>
        <w:pStyle w:val="4"/>
        <w:spacing w:before="0" w:beforeAutospacing="0" w:after="0" w:afterAutospacing="0"/>
        <w:ind w:firstLine="420" w:firstLineChars="200"/>
        <w:rPr>
          <w:rFonts w:cs="宋体"/>
          <w:sz w:val="21"/>
          <w:szCs w:val="21"/>
        </w:rPr>
      </w:pPr>
      <w:r>
        <w:rPr>
          <w:rFonts w:hint="eastAsia" w:cs="宋体"/>
          <w:sz w:val="21"/>
          <w:szCs w:val="21"/>
        </w:rPr>
        <w:t>2．计算机等级考试国家级、省级均可加分（但不重复加分）。</w:t>
      </w:r>
    </w:p>
    <w:p>
      <w:pPr>
        <w:pStyle w:val="4"/>
        <w:spacing w:before="0" w:beforeAutospacing="0" w:after="0" w:afterAutospacing="0"/>
        <w:ind w:firstLine="420" w:firstLineChars="200"/>
        <w:rPr>
          <w:rFonts w:cs="宋体"/>
          <w:sz w:val="21"/>
          <w:szCs w:val="21"/>
        </w:rPr>
      </w:pPr>
      <w:r>
        <w:rPr>
          <w:rFonts w:hint="eastAsia" w:cs="宋体"/>
          <w:sz w:val="21"/>
          <w:szCs w:val="21"/>
        </w:rPr>
        <w:t>3．对于在某项活动中表现突出的个人和集体，经学院研究讨论，可在特殊表彰中适当加分。</w:t>
      </w:r>
    </w:p>
    <w:p>
      <w:pPr>
        <w:pStyle w:val="4"/>
        <w:spacing w:before="0" w:beforeAutospacing="0" w:after="0" w:afterAutospacing="0"/>
        <w:ind w:firstLine="420" w:firstLineChars="200"/>
        <w:rPr>
          <w:rFonts w:cs="宋体"/>
          <w:sz w:val="21"/>
          <w:szCs w:val="21"/>
        </w:rPr>
      </w:pPr>
      <w:r>
        <w:rPr>
          <w:rFonts w:hint="eastAsia" w:cs="宋体"/>
          <w:sz w:val="21"/>
          <w:szCs w:val="21"/>
        </w:rPr>
        <w:t>4．学生干部须进行考核登记才能计算分值，且须工作满一届（说明：上学期是干事或普通班委工作满半年，下学期在同一学生组织晋升后工作满半年，可以按晋升后的职务计算）。</w:t>
      </w:r>
    </w:p>
    <w:p>
      <w:pPr>
        <w:pStyle w:val="4"/>
        <w:spacing w:before="0" w:beforeAutospacing="0" w:after="0" w:afterAutospacing="0"/>
        <w:ind w:firstLine="420" w:firstLineChars="200"/>
        <w:rPr>
          <w:rFonts w:cs="宋体"/>
          <w:sz w:val="21"/>
          <w:szCs w:val="21"/>
        </w:rPr>
      </w:pPr>
      <w:r>
        <w:rPr>
          <w:rFonts w:hint="eastAsia" w:cs="宋体"/>
          <w:sz w:val="21"/>
          <w:szCs w:val="21"/>
        </w:rPr>
        <w:t>5．社会工作是指学生作为学生干部从事的工作。学生组织正职是指学生会主席、团总支副书记、党务秘书处秘书长、协会会长和志愿者队队长等；学生组织副职是指电信协会常务理事会成员、党支部副书记、学生会主席团其他成员等；学生组织部门负责人是指学生组织的正副部长、党务秘书、党支部委员、班长团支书等；其它学生干部是指学生组织干事、班级除班长团支书外的班委干部。</w:t>
      </w:r>
    </w:p>
    <w:p>
      <w:pPr>
        <w:pStyle w:val="4"/>
        <w:spacing w:before="0" w:beforeAutospacing="0" w:after="0" w:afterAutospacing="0"/>
        <w:jc w:val="center"/>
        <w:rPr>
          <w:rFonts w:ascii="仿宋_GB2312" w:eastAsia="仿宋_GB2312" w:cs="宋体"/>
          <w:b/>
          <w:sz w:val="28"/>
          <w:szCs w:val="28"/>
        </w:rPr>
      </w:pPr>
      <w:r>
        <w:rPr>
          <w:rFonts w:hint="eastAsia" w:ascii="仿宋_GB2312" w:eastAsia="仿宋_GB2312" w:cs="宋体"/>
          <w:b/>
          <w:sz w:val="28"/>
          <w:szCs w:val="28"/>
        </w:rPr>
        <w:t>第三部分  综合排名</w:t>
      </w:r>
    </w:p>
    <w:p>
      <w:pPr>
        <w:pStyle w:val="4"/>
        <w:spacing w:before="0" w:beforeAutospacing="0" w:after="0" w:afterAutospacing="0"/>
        <w:rPr>
          <w:rFonts w:cs="宋体"/>
          <w:sz w:val="21"/>
          <w:szCs w:val="21"/>
        </w:rPr>
      </w:pPr>
      <w:r>
        <w:rPr>
          <w:rFonts w:hint="eastAsia" w:cs="宋体"/>
          <w:sz w:val="21"/>
          <w:szCs w:val="21"/>
        </w:rPr>
        <w:t>第六条 大学生综合素质的排名以基础性素质排名确定入围比例后，根据发展性素质进行排名，产生前50%的综合排名，具体排名方法见表</w:t>
      </w:r>
      <w:r>
        <w:rPr>
          <w:rFonts w:hint="eastAsia" w:cs="宋体"/>
          <w:sz w:val="21"/>
          <w:szCs w:val="21"/>
          <w:lang w:val="en-US" w:eastAsia="zh-CN"/>
        </w:rPr>
        <w:t>3</w:t>
      </w:r>
      <w:r>
        <w:rPr>
          <w:rFonts w:hint="eastAsia" w:cs="宋体"/>
          <w:sz w:val="21"/>
          <w:szCs w:val="21"/>
        </w:rPr>
        <w:t>。</w:t>
      </w:r>
    </w:p>
    <w:p>
      <w:pPr>
        <w:pStyle w:val="4"/>
        <w:spacing w:before="0" w:beforeAutospacing="0" w:after="0" w:afterAutospacing="0"/>
        <w:rPr>
          <w:rFonts w:ascii="华文中宋" w:hAnsi="华文中宋" w:eastAsia="华文中宋" w:cs="华文中宋"/>
          <w:b/>
          <w:bCs/>
        </w:rPr>
      </w:pPr>
      <w:r>
        <w:rPr>
          <w:rFonts w:hint="eastAsia" w:cs="宋体"/>
          <w:sz w:val="21"/>
          <w:szCs w:val="21"/>
        </w:rPr>
        <w:t>表</w:t>
      </w:r>
      <w:r>
        <w:rPr>
          <w:rFonts w:hint="eastAsia" w:cs="宋体"/>
          <w:sz w:val="21"/>
          <w:szCs w:val="21"/>
          <w:lang w:val="en-US" w:eastAsia="zh-CN"/>
        </w:rPr>
        <w:t>3</w:t>
      </w:r>
      <w:r>
        <w:rPr>
          <w:rFonts w:hint="eastAsia" w:cs="宋体"/>
          <w:sz w:val="21"/>
          <w:szCs w:val="21"/>
        </w:rPr>
        <w:t>：大学生综合素质排名方法</w:t>
      </w:r>
    </w:p>
    <w:tbl>
      <w:tblPr>
        <w:tblStyle w:val="6"/>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61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3210" w:type="dxa"/>
            <w:vAlign w:val="center"/>
          </w:tcPr>
          <w:p>
            <w:pPr>
              <w:pStyle w:val="4"/>
              <w:spacing w:before="0" w:beforeAutospacing="0" w:after="0" w:afterAutospacing="0"/>
              <w:jc w:val="center"/>
              <w:rPr>
                <w:rFonts w:cs="宋体"/>
                <w:sz w:val="21"/>
                <w:szCs w:val="21"/>
              </w:rPr>
            </w:pPr>
            <w:r>
              <w:rPr>
                <w:rFonts w:hint="eastAsia" w:cs="宋体"/>
                <w:sz w:val="21"/>
                <w:szCs w:val="21"/>
              </w:rPr>
              <w:t xml:space="preserve">以基础性素质排序 </w:t>
            </w:r>
          </w:p>
          <w:p>
            <w:pPr>
              <w:pStyle w:val="4"/>
              <w:spacing w:before="0" w:beforeAutospacing="0" w:after="0" w:afterAutospacing="0"/>
              <w:jc w:val="center"/>
              <w:rPr>
                <w:rFonts w:cs="宋体"/>
                <w:sz w:val="21"/>
                <w:szCs w:val="21"/>
              </w:rPr>
            </w:pPr>
            <w:r>
              <w:rPr>
                <w:rFonts w:hint="eastAsia" w:cs="宋体"/>
                <w:sz w:val="21"/>
                <w:szCs w:val="21"/>
              </w:rPr>
              <w:t>确定入围比例</w:t>
            </w:r>
          </w:p>
        </w:tc>
        <w:tc>
          <w:tcPr>
            <w:tcW w:w="3618" w:type="dxa"/>
            <w:vAlign w:val="center"/>
          </w:tcPr>
          <w:p>
            <w:pPr>
              <w:pStyle w:val="4"/>
              <w:spacing w:before="0" w:beforeAutospacing="0" w:after="0" w:afterAutospacing="0"/>
              <w:jc w:val="center"/>
              <w:rPr>
                <w:rFonts w:cs="宋体"/>
                <w:sz w:val="21"/>
                <w:szCs w:val="21"/>
              </w:rPr>
            </w:pPr>
            <w:r>
              <w:rPr>
                <w:rFonts w:hint="eastAsia" w:cs="宋体"/>
                <w:sz w:val="21"/>
                <w:szCs w:val="21"/>
              </w:rPr>
              <w:t xml:space="preserve">在各入围比例内 </w:t>
            </w:r>
          </w:p>
          <w:p>
            <w:pPr>
              <w:pStyle w:val="4"/>
              <w:spacing w:before="0" w:beforeAutospacing="0" w:after="0" w:afterAutospacing="0"/>
              <w:jc w:val="center"/>
              <w:rPr>
                <w:rFonts w:cs="宋体"/>
                <w:sz w:val="21"/>
                <w:szCs w:val="21"/>
              </w:rPr>
            </w:pPr>
            <w:r>
              <w:rPr>
                <w:rFonts w:hint="eastAsia" w:cs="宋体"/>
                <w:sz w:val="21"/>
                <w:szCs w:val="21"/>
              </w:rPr>
              <w:t>根据发展性素质产生的排名</w:t>
            </w:r>
          </w:p>
        </w:tc>
        <w:tc>
          <w:tcPr>
            <w:tcW w:w="2035" w:type="dxa"/>
            <w:vAlign w:val="center"/>
          </w:tcPr>
          <w:p>
            <w:pPr>
              <w:pStyle w:val="4"/>
              <w:spacing w:before="0" w:beforeAutospacing="0" w:after="0" w:afterAutospacing="0"/>
              <w:rPr>
                <w:rFonts w:cs="宋体"/>
                <w:sz w:val="21"/>
                <w:szCs w:val="21"/>
              </w:rPr>
            </w:pPr>
            <w:r>
              <w:rPr>
                <w:rFonts w:hint="eastAsia" w:cs="宋体"/>
                <w:sz w:val="21"/>
                <w:szCs w:val="21"/>
              </w:rPr>
              <w:t>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10" w:type="dxa"/>
          </w:tcPr>
          <w:p>
            <w:pPr>
              <w:pStyle w:val="4"/>
              <w:spacing w:before="0" w:beforeAutospacing="0" w:after="0" w:afterAutospacing="0"/>
              <w:jc w:val="center"/>
              <w:rPr>
                <w:rFonts w:cs="宋体"/>
                <w:sz w:val="21"/>
                <w:szCs w:val="21"/>
              </w:rPr>
            </w:pPr>
            <w:r>
              <w:rPr>
                <w:rFonts w:hint="eastAsia" w:cs="宋体"/>
                <w:sz w:val="21"/>
                <w:szCs w:val="21"/>
              </w:rPr>
              <w:t>前10％</w:t>
            </w:r>
          </w:p>
        </w:tc>
        <w:tc>
          <w:tcPr>
            <w:tcW w:w="3618" w:type="dxa"/>
          </w:tcPr>
          <w:p>
            <w:pPr>
              <w:pStyle w:val="4"/>
              <w:spacing w:before="0" w:beforeAutospacing="0" w:after="0" w:afterAutospacing="0"/>
              <w:jc w:val="center"/>
              <w:rPr>
                <w:rFonts w:cs="宋体"/>
                <w:sz w:val="21"/>
                <w:szCs w:val="21"/>
              </w:rPr>
            </w:pPr>
            <w:r>
              <w:rPr>
                <w:rFonts w:hint="eastAsia" w:cs="宋体"/>
                <w:sz w:val="21"/>
                <w:szCs w:val="21"/>
              </w:rPr>
              <w:t>前10％</w:t>
            </w:r>
          </w:p>
        </w:tc>
        <w:tc>
          <w:tcPr>
            <w:tcW w:w="2035" w:type="dxa"/>
            <w:vMerge w:val="restart"/>
            <w:vAlign w:val="center"/>
          </w:tcPr>
          <w:p>
            <w:pPr>
              <w:pStyle w:val="4"/>
              <w:spacing w:before="0" w:beforeAutospacing="0" w:after="0" w:afterAutospacing="0"/>
              <w:rPr>
                <w:rFonts w:cs="宋体"/>
                <w:sz w:val="21"/>
                <w:szCs w:val="21"/>
              </w:rPr>
            </w:pPr>
            <w:r>
              <w:rPr>
                <w:rFonts w:hint="eastAsia" w:cs="宋体"/>
                <w:sz w:val="21"/>
                <w:szCs w:val="21"/>
              </w:rPr>
              <w:t>以入围的方式产生前50％的综合排名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10" w:type="dxa"/>
          </w:tcPr>
          <w:p>
            <w:pPr>
              <w:pStyle w:val="4"/>
              <w:spacing w:before="0" w:beforeAutospacing="0" w:after="0" w:afterAutospacing="0"/>
              <w:jc w:val="center"/>
              <w:rPr>
                <w:rFonts w:cs="宋体"/>
                <w:sz w:val="21"/>
                <w:szCs w:val="21"/>
              </w:rPr>
            </w:pPr>
            <w:r>
              <w:rPr>
                <w:rFonts w:hint="eastAsia" w:cs="宋体"/>
                <w:sz w:val="21"/>
                <w:szCs w:val="21"/>
              </w:rPr>
              <w:t>次15％</w:t>
            </w:r>
          </w:p>
        </w:tc>
        <w:tc>
          <w:tcPr>
            <w:tcW w:w="3618" w:type="dxa"/>
          </w:tcPr>
          <w:p>
            <w:pPr>
              <w:pStyle w:val="4"/>
              <w:spacing w:before="0" w:beforeAutospacing="0" w:after="0" w:afterAutospacing="0"/>
              <w:jc w:val="center"/>
              <w:rPr>
                <w:rFonts w:cs="宋体"/>
                <w:sz w:val="21"/>
                <w:szCs w:val="21"/>
              </w:rPr>
            </w:pPr>
            <w:r>
              <w:rPr>
                <w:rFonts w:hint="eastAsia" w:cs="宋体"/>
                <w:sz w:val="21"/>
                <w:szCs w:val="21"/>
              </w:rPr>
              <w:t>次15％</w:t>
            </w:r>
          </w:p>
        </w:tc>
        <w:tc>
          <w:tcPr>
            <w:tcW w:w="2035" w:type="dxa"/>
            <w:vMerge w:val="continue"/>
          </w:tcPr>
          <w:p>
            <w:pPr>
              <w:pStyle w:val="4"/>
              <w:spacing w:before="0" w:beforeAutospacing="0" w:after="0" w:afterAutospacing="0"/>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10" w:type="dxa"/>
          </w:tcPr>
          <w:p>
            <w:pPr>
              <w:pStyle w:val="4"/>
              <w:spacing w:before="0" w:beforeAutospacing="0" w:after="0" w:afterAutospacing="0"/>
              <w:jc w:val="center"/>
              <w:rPr>
                <w:rFonts w:cs="宋体"/>
                <w:sz w:val="21"/>
                <w:szCs w:val="21"/>
              </w:rPr>
            </w:pPr>
            <w:r>
              <w:rPr>
                <w:rFonts w:hint="eastAsia" w:cs="宋体"/>
                <w:sz w:val="21"/>
                <w:szCs w:val="21"/>
              </w:rPr>
              <w:t>再次25％</w:t>
            </w:r>
          </w:p>
        </w:tc>
        <w:tc>
          <w:tcPr>
            <w:tcW w:w="3618" w:type="dxa"/>
          </w:tcPr>
          <w:p>
            <w:pPr>
              <w:pStyle w:val="4"/>
              <w:spacing w:before="0" w:beforeAutospacing="0" w:after="0" w:afterAutospacing="0"/>
              <w:jc w:val="center"/>
              <w:rPr>
                <w:rFonts w:cs="宋体"/>
                <w:sz w:val="21"/>
                <w:szCs w:val="21"/>
              </w:rPr>
            </w:pPr>
            <w:r>
              <w:rPr>
                <w:rFonts w:hint="eastAsia" w:cs="宋体"/>
                <w:sz w:val="21"/>
                <w:szCs w:val="21"/>
              </w:rPr>
              <w:t>再次25％</w:t>
            </w:r>
          </w:p>
        </w:tc>
        <w:tc>
          <w:tcPr>
            <w:tcW w:w="2035" w:type="dxa"/>
            <w:vMerge w:val="continue"/>
          </w:tcPr>
          <w:p>
            <w:pPr>
              <w:pStyle w:val="4"/>
              <w:spacing w:before="0" w:beforeAutospacing="0" w:after="0" w:afterAutospacing="0"/>
              <w:ind w:firstLine="420" w:firstLineChars="200"/>
              <w:rPr>
                <w:rFonts w:cs="宋体"/>
                <w:sz w:val="21"/>
                <w:szCs w:val="21"/>
              </w:rPr>
            </w:pPr>
          </w:p>
        </w:tc>
      </w:tr>
    </w:tbl>
    <w:p>
      <w:pPr>
        <w:pStyle w:val="4"/>
        <w:spacing w:before="0" w:beforeAutospacing="0" w:after="0" w:afterAutospacing="0"/>
        <w:rPr>
          <w:rFonts w:cs="宋体"/>
          <w:sz w:val="21"/>
          <w:szCs w:val="21"/>
        </w:rPr>
      </w:pPr>
      <w:r>
        <w:rPr>
          <w:rFonts w:hint="eastAsia" w:cs="宋体"/>
          <w:sz w:val="21"/>
          <w:szCs w:val="21"/>
        </w:rPr>
        <w:t>说明：综合排名经过公示之后确定；发展性素质得分相同的情况下，按照基础性素质得分进行排名。</w:t>
      </w:r>
    </w:p>
    <w:p>
      <w:pPr>
        <w:pStyle w:val="4"/>
        <w:spacing w:before="0" w:beforeAutospacing="0" w:after="0" w:afterAutospacing="0"/>
        <w:rPr>
          <w:rFonts w:hint="eastAsia" w:ascii="华文中宋" w:hAnsi="华文中宋" w:eastAsia="华文中宋" w:cs="华文中宋"/>
          <w:b/>
          <w:bCs/>
          <w:lang w:val="en-US" w:eastAsia="zh-CN"/>
        </w:rPr>
      </w:pPr>
      <w:r>
        <w:rPr>
          <w:rFonts w:hint="eastAsia" w:ascii="华文中宋" w:hAnsi="华文中宋" w:eastAsia="华文中宋" w:cs="华文中宋"/>
          <w:b/>
          <w:bCs/>
          <w:lang w:val="en-US" w:eastAsia="zh-CN"/>
        </w:rPr>
        <w:t>5.未尽事宜见自信学院综合素质测评解释说明。</w:t>
      </w:r>
    </w:p>
    <w:p>
      <w:pPr>
        <w:pStyle w:val="4"/>
        <w:spacing w:before="0" w:beforeAutospacing="0" w:after="0" w:afterAutospacing="0"/>
        <w:jc w:val="right"/>
        <w:rPr>
          <w:rFonts w:hint="eastAsia" w:ascii="仿宋_GB2312" w:eastAsia="仿宋_GB2312" w:cs="宋体"/>
          <w:bCs/>
          <w:sz w:val="21"/>
          <w:szCs w:val="21"/>
        </w:rPr>
      </w:pPr>
    </w:p>
    <w:p>
      <w:pPr>
        <w:pStyle w:val="4"/>
        <w:spacing w:before="0" w:beforeAutospacing="0" w:after="0" w:afterAutospacing="0"/>
        <w:jc w:val="right"/>
        <w:rPr>
          <w:rFonts w:hint="eastAsia" w:ascii="仿宋_GB2312" w:eastAsia="仿宋_GB2312" w:cs="宋体"/>
          <w:bCs/>
          <w:sz w:val="21"/>
          <w:szCs w:val="21"/>
        </w:rPr>
      </w:pPr>
    </w:p>
    <w:p>
      <w:pPr>
        <w:pStyle w:val="4"/>
        <w:spacing w:before="0" w:beforeAutospacing="0" w:after="0" w:afterAutospacing="0"/>
        <w:jc w:val="right"/>
        <w:rPr>
          <w:rFonts w:ascii="仿宋_GB2312" w:eastAsia="仿宋_GB2312" w:cs="宋体"/>
          <w:bCs/>
          <w:sz w:val="21"/>
          <w:szCs w:val="21"/>
        </w:rPr>
      </w:pPr>
      <w:r>
        <w:rPr>
          <w:rFonts w:hint="eastAsia" w:ascii="仿宋_GB2312" w:eastAsia="仿宋_GB2312" w:cs="宋体"/>
          <w:bCs/>
          <w:sz w:val="21"/>
          <w:szCs w:val="21"/>
        </w:rPr>
        <w:t>自动化与信息</w:t>
      </w:r>
      <w:r>
        <w:rPr>
          <w:rFonts w:hint="eastAsia" w:ascii="仿宋_GB2312" w:eastAsia="仿宋_GB2312" w:cs="宋体"/>
          <w:bCs/>
          <w:sz w:val="21"/>
          <w:szCs w:val="21"/>
          <w:lang w:eastAsia="zh-CN"/>
        </w:rPr>
        <w:t>工程</w:t>
      </w:r>
      <w:r>
        <w:rPr>
          <w:rFonts w:hint="eastAsia" w:ascii="仿宋_GB2312" w:eastAsia="仿宋_GB2312" w:cs="宋体"/>
          <w:bCs/>
          <w:sz w:val="21"/>
          <w:szCs w:val="21"/>
        </w:rPr>
        <w:t>学院</w:t>
      </w:r>
    </w:p>
    <w:p>
      <w:pPr>
        <w:pStyle w:val="4"/>
        <w:spacing w:before="0" w:beforeAutospacing="0" w:after="0" w:afterAutospacing="0"/>
        <w:jc w:val="right"/>
        <w:rPr>
          <w:rFonts w:cs="宋体"/>
          <w:sz w:val="21"/>
          <w:szCs w:val="21"/>
        </w:rPr>
      </w:pPr>
      <w:r>
        <w:rPr>
          <w:rFonts w:hint="eastAsia" w:ascii="仿宋_GB2312" w:eastAsia="仿宋_GB2312" w:cs="宋体"/>
          <w:bCs/>
          <w:sz w:val="21"/>
          <w:szCs w:val="21"/>
        </w:rPr>
        <w:t>二O一</w:t>
      </w:r>
      <w:r>
        <w:rPr>
          <w:rFonts w:hint="eastAsia" w:ascii="仿宋_GB2312" w:eastAsia="仿宋_GB2312" w:cs="宋体"/>
          <w:bCs/>
          <w:sz w:val="21"/>
          <w:szCs w:val="21"/>
          <w:lang w:eastAsia="zh-CN"/>
        </w:rPr>
        <w:t>八</w:t>
      </w:r>
      <w:r>
        <w:rPr>
          <w:rFonts w:hint="eastAsia" w:ascii="仿宋_GB2312" w:eastAsia="仿宋_GB2312" w:cs="宋体"/>
          <w:bCs/>
          <w:sz w:val="21"/>
          <w:szCs w:val="21"/>
        </w:rPr>
        <w:t>年九月十</w:t>
      </w:r>
      <w:r>
        <w:rPr>
          <w:rFonts w:hint="eastAsia" w:ascii="仿宋_GB2312" w:eastAsia="仿宋_GB2312" w:cs="宋体"/>
          <w:bCs/>
          <w:sz w:val="21"/>
          <w:szCs w:val="21"/>
          <w:lang w:eastAsia="zh-CN"/>
        </w:rPr>
        <w:t>七</w:t>
      </w:r>
      <w:r>
        <w:rPr>
          <w:rFonts w:hint="eastAsia" w:ascii="仿宋_GB2312" w:eastAsia="仿宋_GB2312" w:cs="宋体"/>
          <w:bCs/>
          <w:sz w:val="21"/>
          <w:szCs w:val="21"/>
        </w:rPr>
        <w:t>日</w:t>
      </w:r>
      <w:r>
        <w:rPr>
          <w:rFonts w:hint="eastAsia" w:cs="宋体"/>
          <w:sz w:val="21"/>
          <w:szCs w:val="21"/>
        </w:rPr>
        <w:t xml:space="preserve"> </w:t>
      </w:r>
    </w:p>
    <w:sectPr>
      <w:footerReference r:id="rId3" w:type="default"/>
      <w:pgSz w:w="11906" w:h="16838"/>
      <w:pgMar w:top="936" w:right="1418" w:bottom="624"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w:t>
                </w:r>
                <w:r>
                  <w:rPr>
                    <w:sz w:val="18"/>
                  </w:rPr>
                  <w:fldChar w:fldCharType="end"/>
                </w:r>
                <w:r>
                  <w:rPr>
                    <w:rFonts w:hint="eastAsia"/>
                    <w:sz w:val="18"/>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40507"/>
    <w:rsid w:val="00172A27"/>
    <w:rsid w:val="00184A47"/>
    <w:rsid w:val="00245D73"/>
    <w:rsid w:val="0025216E"/>
    <w:rsid w:val="00271555"/>
    <w:rsid w:val="002E5840"/>
    <w:rsid w:val="003622CB"/>
    <w:rsid w:val="00365E6F"/>
    <w:rsid w:val="003E418E"/>
    <w:rsid w:val="004905AA"/>
    <w:rsid w:val="004A68C1"/>
    <w:rsid w:val="00502F75"/>
    <w:rsid w:val="00542C7A"/>
    <w:rsid w:val="00550AC1"/>
    <w:rsid w:val="005F798A"/>
    <w:rsid w:val="0062632F"/>
    <w:rsid w:val="00634A24"/>
    <w:rsid w:val="00652545"/>
    <w:rsid w:val="00655F7D"/>
    <w:rsid w:val="006D6264"/>
    <w:rsid w:val="00707BAE"/>
    <w:rsid w:val="00790A8C"/>
    <w:rsid w:val="007F433E"/>
    <w:rsid w:val="00961ABA"/>
    <w:rsid w:val="00990A26"/>
    <w:rsid w:val="009E38A1"/>
    <w:rsid w:val="00A258F9"/>
    <w:rsid w:val="00A62AD1"/>
    <w:rsid w:val="00A7029B"/>
    <w:rsid w:val="00B40FA3"/>
    <w:rsid w:val="00C65C46"/>
    <w:rsid w:val="00C973A2"/>
    <w:rsid w:val="00CB2D8B"/>
    <w:rsid w:val="00D67A70"/>
    <w:rsid w:val="00DD3F16"/>
    <w:rsid w:val="00E3562F"/>
    <w:rsid w:val="00E42C07"/>
    <w:rsid w:val="00F55E89"/>
    <w:rsid w:val="00F763DA"/>
    <w:rsid w:val="04D2667E"/>
    <w:rsid w:val="069A00DA"/>
    <w:rsid w:val="07AF6191"/>
    <w:rsid w:val="0E433E9C"/>
    <w:rsid w:val="0EC21A2A"/>
    <w:rsid w:val="1FE6762D"/>
    <w:rsid w:val="24A948B4"/>
    <w:rsid w:val="281256F8"/>
    <w:rsid w:val="2B054C24"/>
    <w:rsid w:val="33502028"/>
    <w:rsid w:val="3B487806"/>
    <w:rsid w:val="42291C42"/>
    <w:rsid w:val="45D105B0"/>
    <w:rsid w:val="46BB5DE9"/>
    <w:rsid w:val="4C2E4987"/>
    <w:rsid w:val="5AB9121B"/>
    <w:rsid w:val="60FA7C60"/>
    <w:rsid w:val="65E07EC7"/>
    <w:rsid w:val="697C0605"/>
    <w:rsid w:val="7B5060E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4DD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1175</Words>
  <Characters>6701</Characters>
  <Lines>55</Lines>
  <Paragraphs>15</Paragraphs>
  <TotalTime>2</TotalTime>
  <ScaleCrop>false</ScaleCrop>
  <LinksUpToDate>false</LinksUpToDate>
  <CharactersWithSpaces>7861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2016-09-27T02:27:00Z</dcterms:created>
  <dc:creator>微软中国</dc:creator>
  <cp:lastModifiedBy>蒋小雨</cp:lastModifiedBy>
  <cp:lastPrinted>2015-09-11T10:09:00Z</cp:lastPrinted>
  <dcterms:modified xsi:type="dcterms:W3CDTF">2018-09-17T09:13:36Z</dcterms:modified>
  <dc:title>自动化与电子信息学院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